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3192C" w14:textId="5056A9B7" w:rsidR="006F5C37" w:rsidRDefault="002B3583">
      <w:pPr>
        <w:jc w:val="center"/>
        <w:rPr>
          <w:rFonts w:ascii="Arial" w:eastAsia="Arial" w:hAnsi="Arial" w:cs="Arial"/>
          <w:b/>
          <w:sz w:val="24"/>
          <w:szCs w:val="24"/>
        </w:rPr>
      </w:pPr>
      <w:r w:rsidRPr="004244EF">
        <w:rPr>
          <w:rFonts w:ascii="Arial" w:eastAsia="Arial" w:hAnsi="Arial" w:cs="Arial"/>
          <w:b/>
          <w:sz w:val="24"/>
          <w:szCs w:val="24"/>
        </w:rPr>
        <w:t>PROYECT</w:t>
      </w:r>
      <w:r w:rsidR="00EB6D6B">
        <w:rPr>
          <w:rFonts w:ascii="Arial" w:eastAsia="Arial" w:hAnsi="Arial" w:cs="Arial"/>
          <w:b/>
          <w:sz w:val="24"/>
          <w:szCs w:val="24"/>
        </w:rPr>
        <w:t>O DE ACUERDO N.</w:t>
      </w:r>
      <w:r w:rsidR="000C4165">
        <w:rPr>
          <w:rFonts w:ascii="Arial" w:eastAsia="Arial" w:hAnsi="Arial" w:cs="Arial"/>
          <w:b/>
          <w:sz w:val="24"/>
          <w:szCs w:val="24"/>
        </w:rPr>
        <w:t xml:space="preserve"> </w:t>
      </w:r>
      <w:r w:rsidR="008700E5">
        <w:rPr>
          <w:rFonts w:ascii="Arial" w:eastAsia="Arial" w:hAnsi="Arial" w:cs="Arial"/>
          <w:b/>
          <w:sz w:val="24"/>
          <w:szCs w:val="24"/>
        </w:rPr>
        <w:t>368</w:t>
      </w:r>
      <w:bookmarkStart w:id="0" w:name="_GoBack"/>
      <w:bookmarkEnd w:id="0"/>
      <w:r w:rsidR="000C4165">
        <w:rPr>
          <w:rFonts w:ascii="Arial" w:eastAsia="Arial" w:hAnsi="Arial" w:cs="Arial"/>
          <w:b/>
          <w:sz w:val="24"/>
          <w:szCs w:val="24"/>
        </w:rPr>
        <w:t xml:space="preserve"> </w:t>
      </w:r>
      <w:r w:rsidR="00620026">
        <w:rPr>
          <w:rFonts w:ascii="Arial" w:eastAsia="Arial" w:hAnsi="Arial" w:cs="Arial"/>
          <w:b/>
          <w:sz w:val="24"/>
          <w:szCs w:val="24"/>
        </w:rPr>
        <w:t>DE 202</w:t>
      </w:r>
      <w:r w:rsidR="00D01ADF">
        <w:rPr>
          <w:rFonts w:ascii="Arial" w:eastAsia="Arial" w:hAnsi="Arial" w:cs="Arial"/>
          <w:b/>
          <w:sz w:val="24"/>
          <w:szCs w:val="24"/>
        </w:rPr>
        <w:t>5</w:t>
      </w:r>
    </w:p>
    <w:p w14:paraId="2EC95AEB" w14:textId="77777777" w:rsidR="00B97BAB" w:rsidRPr="004244EF" w:rsidRDefault="00B97BAB">
      <w:pPr>
        <w:jc w:val="center"/>
        <w:rPr>
          <w:rFonts w:ascii="Arial" w:eastAsia="Arial" w:hAnsi="Arial" w:cs="Arial"/>
          <w:b/>
          <w:sz w:val="24"/>
          <w:szCs w:val="24"/>
        </w:rPr>
      </w:pPr>
    </w:p>
    <w:p w14:paraId="7DB1AA1C" w14:textId="77777777"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"POR MEDIO DEL CUAL SE CONFORMA LA RED DE MERCADOS DE PULGAS EN LOS PARQUES DE LA CIUDAD Y SE DICTAN OTRAS DISPOSICIONES"</w:t>
      </w:r>
    </w:p>
    <w:p w14:paraId="23D7E29E" w14:textId="77777777" w:rsidR="00982C54" w:rsidRPr="004244EF" w:rsidRDefault="00982C54">
      <w:pPr>
        <w:jc w:val="center"/>
        <w:rPr>
          <w:rFonts w:ascii="Arial" w:eastAsia="Arial" w:hAnsi="Arial" w:cs="Arial"/>
          <w:sz w:val="24"/>
          <w:szCs w:val="24"/>
        </w:rPr>
      </w:pPr>
    </w:p>
    <w:p w14:paraId="2C1D9759" w14:textId="77777777" w:rsidR="00982C54" w:rsidRPr="004244EF" w:rsidRDefault="002B3583" w:rsidP="006F5C37">
      <w:pPr>
        <w:jc w:val="center"/>
        <w:rPr>
          <w:rFonts w:ascii="Arial" w:eastAsia="Arial" w:hAnsi="Arial" w:cs="Arial"/>
          <w:b/>
          <w:sz w:val="24"/>
          <w:szCs w:val="24"/>
        </w:rPr>
      </w:pPr>
      <w:r w:rsidRPr="004244EF">
        <w:rPr>
          <w:rFonts w:ascii="Arial" w:eastAsia="Arial" w:hAnsi="Arial" w:cs="Arial"/>
          <w:b/>
          <w:sz w:val="24"/>
          <w:szCs w:val="24"/>
        </w:rPr>
        <w:t>EXPOSICIÓN DE MOTIVOS</w:t>
      </w:r>
    </w:p>
    <w:p w14:paraId="064403E8" w14:textId="77777777" w:rsidR="00982C54" w:rsidRPr="004244EF" w:rsidRDefault="00982C54">
      <w:pPr>
        <w:jc w:val="both"/>
        <w:rPr>
          <w:rFonts w:ascii="Arial" w:eastAsia="Arial" w:hAnsi="Arial" w:cs="Arial"/>
          <w:b/>
          <w:sz w:val="24"/>
          <w:szCs w:val="24"/>
        </w:rPr>
      </w:pPr>
    </w:p>
    <w:p w14:paraId="7A569533"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1. OBJETO DEL PROYECTO DE ACUERDO </w:t>
      </w:r>
    </w:p>
    <w:p w14:paraId="66A6AF06"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El presente Proyecto de Acuerdo tiene por objeto conformar la red de Mercados de pulgas en los parques del Distrito Capital</w:t>
      </w:r>
      <w:r w:rsidR="006F5C37" w:rsidRPr="004244EF">
        <w:rPr>
          <w:rFonts w:ascii="Arial" w:eastAsia="Arial" w:hAnsi="Arial" w:cs="Arial"/>
          <w:sz w:val="24"/>
          <w:szCs w:val="24"/>
        </w:rPr>
        <w:t xml:space="preserve">. </w:t>
      </w:r>
      <w:r w:rsidRPr="004244EF">
        <w:rPr>
          <w:rFonts w:ascii="Arial" w:eastAsia="Arial" w:hAnsi="Arial" w:cs="Arial"/>
          <w:sz w:val="24"/>
          <w:szCs w:val="24"/>
        </w:rPr>
        <w:t xml:space="preserve"> </w:t>
      </w:r>
      <w:r w:rsidR="006F5C37" w:rsidRPr="004244EF">
        <w:rPr>
          <w:rFonts w:ascii="Arial" w:eastAsia="Arial" w:hAnsi="Arial" w:cs="Arial"/>
          <w:sz w:val="24"/>
          <w:szCs w:val="24"/>
        </w:rPr>
        <w:t>Esto tiene como</w:t>
      </w:r>
      <w:r w:rsidRPr="004244EF">
        <w:rPr>
          <w:rFonts w:ascii="Arial" w:eastAsia="Arial" w:hAnsi="Arial" w:cs="Arial"/>
          <w:sz w:val="24"/>
          <w:szCs w:val="24"/>
        </w:rPr>
        <w:t xml:space="preserve"> fin de desconcentrar las actividades económicas, impulsar el comercio a escala barrial y garantizar una mayor accesibilidad a los bogotanos que deseen vincularse a este Proyecto. La iniciativa surge dentro de la apuesta Distrital de reactivación económica y se une al grupo de actividades que deben ser promocionadas debido a su condición de patrimonio cultural. </w:t>
      </w:r>
    </w:p>
    <w:p w14:paraId="23956FCB" w14:textId="77777777" w:rsidR="00982C54" w:rsidRPr="004244EF" w:rsidRDefault="00982C54">
      <w:pPr>
        <w:jc w:val="both"/>
        <w:rPr>
          <w:rFonts w:ascii="Arial" w:eastAsia="Arial" w:hAnsi="Arial" w:cs="Arial"/>
          <w:sz w:val="24"/>
          <w:szCs w:val="24"/>
        </w:rPr>
      </w:pPr>
    </w:p>
    <w:p w14:paraId="36EE86D4"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2. ANTECEDENTES Y JUSTIFICACIÓN </w:t>
      </w:r>
    </w:p>
    <w:p w14:paraId="77B742D0"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El presente Proyecto de Acuerdo no ha sido presentado anteriormente ante el Concejo de la ciudad. </w:t>
      </w:r>
    </w:p>
    <w:p w14:paraId="4C8B108F"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Respecto a la justificación del mismo, debemos empezar explicando su sentido, desde la definición propia de los mercados de pulgas y el rol de integración social que ha logrado comprender históricamente. De esta forma, podemos decir que: un mercado de pulgas, corresponde al establecimiento de puntos de venta en donde generalmente se ofrecen artículos de segunda mano a buen precio (Acciona, 2016). Su oferta es variada y se caracteriza por atraer muchos intereses. Más allá de ello, el objeto de los mercados representa una forma de consumo sostenible y por su vocación refleja una oportunidad de inclusión social enorme. También, es preciso señalar que los mercados de pulgas se han convertido en referentes culturales en muchas ciudades de Latinoamérica (Agredo, 2018). Parte del éxito de los mercados de pulgas como espacios de integración social, tiene que ver con la diversidad de actores que se ven involucrados dentro de este espacio. Asimismo, la particularidad de cada producto ofrecido en este tipo de mercados. Este tipo de escenarios no solamente sirve para la venta de productos, sino que también sirve para acoger un gran número eventos de gran interés como muestras culturales o subastas ciudadanas.</w:t>
      </w:r>
    </w:p>
    <w:p w14:paraId="0E07267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lastRenderedPageBreak/>
        <w:t xml:space="preserve">Ahora bien, para poder destacar la relevancia de este Proyecto de Acuerdo es necesario señalar la preocupante cifra de desempleo que atañe a la ciudad y que ha rondado por encima del 16% en lo que va del año (Mercado Laboral, DANE, 2021). A ello, hay que sumarle las secuelas laborales que trajo la pandemia, como, por ejemplo, las relaciones distantes, la desintegración social y la inmediatez de la tecnología. Esto, sin contar el sinnúmero de subcontrataciones que surgieron en medio de la pandemia y fragmentaron aún más el tejido laboral de la ciudad. </w:t>
      </w:r>
    </w:p>
    <w:p w14:paraId="435BD8B5" w14:textId="77777777" w:rsidR="00982C54" w:rsidRPr="004244EF" w:rsidRDefault="002B3583">
      <w:pPr>
        <w:jc w:val="both"/>
        <w:rPr>
          <w:rFonts w:ascii="Arial" w:eastAsia="Arial" w:hAnsi="Arial" w:cs="Arial"/>
          <w:sz w:val="24"/>
          <w:szCs w:val="24"/>
        </w:rPr>
      </w:pPr>
      <w:bookmarkStart w:id="1" w:name="_heading=h.gjdgxs" w:colFirst="0" w:colLast="0"/>
      <w:bookmarkEnd w:id="1"/>
      <w:r w:rsidRPr="004244EF">
        <w:rPr>
          <w:rFonts w:ascii="Arial" w:eastAsia="Arial" w:hAnsi="Arial" w:cs="Arial"/>
          <w:sz w:val="24"/>
          <w:szCs w:val="24"/>
        </w:rPr>
        <w:t xml:space="preserve">Como resultado de esta fragmentación laboral, las cifras de informalidad han llegado hasta el 42% este año según el DANE (Empleo informal y seguridad social, 2021). Por ello, y al tratarse de una población que está generando una participación importante en la economía de la ciudad, se deben proponer proyectos que ayuden la dinamización de la economía de esta población y expanda la oferta para la promoción de espacios como los mercados de pulgas en la ciudad. A diferencia de otros proyectos que han intentado impulsar la economía informal en la ciudad, este Proyecto de Acuerdo cumplirá con la normatividad legal del sector económico y demás normatividad que influya sobre el caso. Vale la pena recordar que la motivación de este proyecto es desconcentrar las actividades económicas y aumentar la accesibilidad para aumentar directamente las formas de subsistir de cientos de bogotanos. </w:t>
      </w:r>
    </w:p>
    <w:p w14:paraId="35956F0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Por su parte, el uso de los parques de la ciudad corresponde a la intención de contribuir al restablecimiento del tejido social de la ciudad y no generar desplazamientos de más de 15 minutos para los ciudadanos (Ojeda, 2020). A su vez, se tuvieron en cuenta factores como la satisfacción de necesidades urbanas colectivas para superar límites individuales. En ningún momento se pretende afectar negativamente el orden del espacio público y/o alterar el desarrollo ordinario de las actividades recreativas y/o deportivas que se tenían previamente contempladas. </w:t>
      </w:r>
    </w:p>
    <w:p w14:paraId="40D1EA4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Actualmente, Bogotá cuenta con cinco mercados de pulgas, los cuales son: (i) El mercado de las pulgas de Usaquén, (ii) El mercado de pulgas de San Alejo, (iii) El pasaje Rivas, (iv) El Mercado de </w:t>
      </w:r>
      <w:proofErr w:type="spellStart"/>
      <w:r w:rsidRPr="004244EF">
        <w:rPr>
          <w:rFonts w:ascii="Arial" w:eastAsia="Arial" w:hAnsi="Arial" w:cs="Arial"/>
          <w:sz w:val="24"/>
          <w:szCs w:val="24"/>
        </w:rPr>
        <w:t>Rumichaca</w:t>
      </w:r>
      <w:proofErr w:type="spellEnd"/>
      <w:r w:rsidRPr="004244EF">
        <w:rPr>
          <w:rFonts w:ascii="Arial" w:eastAsia="Arial" w:hAnsi="Arial" w:cs="Arial"/>
          <w:sz w:val="24"/>
          <w:szCs w:val="24"/>
        </w:rPr>
        <w:t xml:space="preserve"> y (v) las pulgas </w:t>
      </w:r>
      <w:proofErr w:type="spellStart"/>
      <w:r w:rsidRPr="004244EF">
        <w:rPr>
          <w:rFonts w:ascii="Arial" w:eastAsia="Arial" w:hAnsi="Arial" w:cs="Arial"/>
          <w:sz w:val="24"/>
          <w:szCs w:val="24"/>
        </w:rPr>
        <w:t>Market</w:t>
      </w:r>
      <w:proofErr w:type="spellEnd"/>
      <w:r w:rsidRPr="004244EF">
        <w:rPr>
          <w:rFonts w:ascii="Arial" w:eastAsia="Arial" w:hAnsi="Arial" w:cs="Arial"/>
          <w:sz w:val="24"/>
          <w:szCs w:val="24"/>
        </w:rPr>
        <w:t xml:space="preserve"> (</w:t>
      </w:r>
      <w:proofErr w:type="spellStart"/>
      <w:r w:rsidRPr="004244EF">
        <w:rPr>
          <w:rFonts w:ascii="Arial" w:eastAsia="Arial" w:hAnsi="Arial" w:cs="Arial"/>
          <w:sz w:val="24"/>
          <w:szCs w:val="24"/>
        </w:rPr>
        <w:t>Lando</w:t>
      </w:r>
      <w:proofErr w:type="spellEnd"/>
      <w:r w:rsidRPr="004244EF">
        <w:rPr>
          <w:rFonts w:ascii="Arial" w:eastAsia="Arial" w:hAnsi="Arial" w:cs="Arial"/>
          <w:sz w:val="24"/>
          <w:szCs w:val="24"/>
        </w:rPr>
        <w:t xml:space="preserve">, 2021). Así, el Proyecto de Acuerdo busca aumentar el número de mercados de pulgas de la ciudad y priorizar aquellos grupos poblacionales que se encuentren en condición de vulnerabilidad. El Proyecto tampoco alterará la conformación y las dinámicas propias de los mercados. En su interior, se seguirán ofreciendo productos como muebles, ropa, zapatos, antigüedades, cachivaches, acetatos, colecciones, libros, electrodomésticos y artesanías. Se estima que, con la incorporación de estos mercados de pulgas, se vinculen a más de 15.000 personas en toda la ciudad. Su condición temporal no será objeto de cambio y corresponderá a uno de los primeros modelos de </w:t>
      </w:r>
      <w:proofErr w:type="spellStart"/>
      <w:r w:rsidRPr="004244EF">
        <w:rPr>
          <w:rFonts w:ascii="Arial" w:eastAsia="Arial" w:hAnsi="Arial" w:cs="Arial"/>
          <w:sz w:val="24"/>
          <w:szCs w:val="24"/>
        </w:rPr>
        <w:t>placemaking</w:t>
      </w:r>
      <w:proofErr w:type="spellEnd"/>
      <w:r w:rsidRPr="004244EF">
        <w:rPr>
          <w:rFonts w:ascii="Arial" w:eastAsia="Arial" w:hAnsi="Arial" w:cs="Arial"/>
          <w:sz w:val="24"/>
          <w:szCs w:val="24"/>
        </w:rPr>
        <w:t xml:space="preserve"> de la ciudad. </w:t>
      </w:r>
    </w:p>
    <w:p w14:paraId="5015E4EF" w14:textId="77777777" w:rsidR="00982C54" w:rsidRPr="004244EF" w:rsidRDefault="00982C54">
      <w:pPr>
        <w:jc w:val="both"/>
        <w:rPr>
          <w:rFonts w:ascii="Arial" w:eastAsia="Arial" w:hAnsi="Arial" w:cs="Arial"/>
          <w:sz w:val="24"/>
          <w:szCs w:val="24"/>
        </w:rPr>
      </w:pPr>
    </w:p>
    <w:p w14:paraId="72FC8CAC" w14:textId="1E8B47FD"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3. </w:t>
      </w:r>
      <w:r w:rsidR="00D01ADF">
        <w:rPr>
          <w:rFonts w:ascii="Arial" w:eastAsia="Arial" w:hAnsi="Arial" w:cs="Arial"/>
          <w:b/>
          <w:sz w:val="24"/>
          <w:szCs w:val="24"/>
        </w:rPr>
        <w:t xml:space="preserve">MARCO JURIDICO </w:t>
      </w:r>
      <w:r w:rsidRPr="004244EF">
        <w:rPr>
          <w:rFonts w:ascii="Arial" w:eastAsia="Arial" w:hAnsi="Arial" w:cs="Arial"/>
          <w:b/>
          <w:sz w:val="24"/>
          <w:szCs w:val="24"/>
        </w:rPr>
        <w:t xml:space="preserve"> </w:t>
      </w:r>
    </w:p>
    <w:p w14:paraId="5DAD993F" w14:textId="77777777" w:rsidR="00982C54" w:rsidRPr="004244EF" w:rsidRDefault="00982C54">
      <w:pPr>
        <w:jc w:val="both"/>
        <w:rPr>
          <w:rFonts w:ascii="Arial" w:eastAsia="Arial" w:hAnsi="Arial" w:cs="Arial"/>
          <w:b/>
          <w:sz w:val="24"/>
          <w:szCs w:val="24"/>
        </w:rPr>
      </w:pPr>
    </w:p>
    <w:p w14:paraId="67DCDBFA" w14:textId="00FD6124"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 xml:space="preserve">3.1. Marco constitucional </w:t>
      </w:r>
    </w:p>
    <w:p w14:paraId="1EEFFAB6"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25. </w:t>
      </w:r>
      <w:r w:rsidRPr="004244EF">
        <w:rPr>
          <w:rFonts w:ascii="Arial" w:eastAsia="Arial" w:hAnsi="Arial" w:cs="Arial"/>
          <w:sz w:val="24"/>
          <w:szCs w:val="24"/>
          <w:u w:val="single"/>
        </w:rPr>
        <w:t>El trabajo es un derecho</w:t>
      </w:r>
      <w:r w:rsidRPr="004244EF">
        <w:rPr>
          <w:rFonts w:ascii="Arial" w:eastAsia="Arial" w:hAnsi="Arial" w:cs="Arial"/>
          <w:sz w:val="24"/>
          <w:szCs w:val="24"/>
        </w:rPr>
        <w:t xml:space="preserve"> y una obligación social y goza, en todas sus modalidades, de la especial protección del Estado. Toda persona tiene derecho a un trabajo en condiciones dignas y justas.</w:t>
      </w:r>
    </w:p>
    <w:p w14:paraId="7771D96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82. </w:t>
      </w:r>
      <w:r w:rsidRPr="004244EF">
        <w:rPr>
          <w:rFonts w:ascii="Arial" w:eastAsia="Arial" w:hAnsi="Arial" w:cs="Arial"/>
          <w:sz w:val="24"/>
          <w:szCs w:val="24"/>
        </w:rPr>
        <w:t xml:space="preserve">Es deber del Estado velar por la protección de la integridad del espacio público y </w:t>
      </w:r>
      <w:r w:rsidRPr="004244EF">
        <w:rPr>
          <w:rFonts w:ascii="Arial" w:eastAsia="Arial" w:hAnsi="Arial" w:cs="Arial"/>
          <w:sz w:val="24"/>
          <w:szCs w:val="24"/>
          <w:u w:val="single"/>
        </w:rPr>
        <w:t>por su destinación al uso común</w:t>
      </w:r>
      <w:r w:rsidRPr="004244EF">
        <w:rPr>
          <w:rFonts w:ascii="Arial" w:eastAsia="Arial" w:hAnsi="Arial" w:cs="Arial"/>
          <w:sz w:val="24"/>
          <w:szCs w:val="24"/>
        </w:rPr>
        <w:t>, el cual prevalece sobre el interés particular.</w:t>
      </w:r>
    </w:p>
    <w:p w14:paraId="65AD4018" w14:textId="77777777" w:rsidR="00982C54" w:rsidRPr="004244EF" w:rsidRDefault="00982C54">
      <w:pPr>
        <w:jc w:val="both"/>
        <w:rPr>
          <w:rFonts w:ascii="Arial" w:eastAsia="Arial" w:hAnsi="Arial" w:cs="Arial"/>
          <w:b/>
          <w:sz w:val="24"/>
          <w:szCs w:val="24"/>
        </w:rPr>
      </w:pPr>
    </w:p>
    <w:p w14:paraId="4280BB40" w14:textId="2B0D4353"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3.2. Marco Legal</w:t>
      </w:r>
    </w:p>
    <w:p w14:paraId="5F9C5A9E"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Ley 1185 de 2008. </w:t>
      </w:r>
      <w:r w:rsidRPr="004244EF">
        <w:rPr>
          <w:rFonts w:ascii="Arial" w:eastAsia="Arial" w:hAnsi="Arial" w:cs="Arial"/>
          <w:sz w:val="24"/>
          <w:szCs w:val="24"/>
        </w:rPr>
        <w:t xml:space="preserve">Estableció el Sistema Nacional de Patrimonio Cultural y fijó un </w:t>
      </w:r>
      <w:r w:rsidRPr="004244EF">
        <w:rPr>
          <w:rFonts w:ascii="Arial" w:eastAsia="Arial" w:hAnsi="Arial" w:cs="Arial"/>
          <w:sz w:val="24"/>
          <w:szCs w:val="24"/>
          <w:u w:val="single"/>
        </w:rPr>
        <w:t>Régimen Especial de Protección y estímulo</w:t>
      </w:r>
      <w:r w:rsidRPr="004244EF">
        <w:rPr>
          <w:rFonts w:ascii="Arial" w:eastAsia="Arial" w:hAnsi="Arial" w:cs="Arial"/>
          <w:sz w:val="24"/>
          <w:szCs w:val="24"/>
        </w:rPr>
        <w:t xml:space="preserve"> para los bienes de dicho Patrimonio que por sus especiales condiciones o representatividad hayan sido o sean declarados como Bienes de Interés Cultural.</w:t>
      </w:r>
    </w:p>
    <w:p w14:paraId="0C4D4D79"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i/>
          <w:sz w:val="24"/>
          <w:szCs w:val="24"/>
        </w:rPr>
        <w:t xml:space="preserve">Integración del patrimonio cultural de la Nación. </w:t>
      </w:r>
      <w:r w:rsidRPr="004244EF">
        <w:rPr>
          <w:rFonts w:ascii="Arial" w:eastAsia="Arial" w:hAnsi="Arial" w:cs="Arial"/>
          <w:sz w:val="24"/>
          <w:szCs w:val="24"/>
        </w:rPr>
        <w:t xml:space="preserve">El patrimonio cultural de la Nación está constituido por todos los bienes materiales, </w:t>
      </w:r>
      <w:r w:rsidRPr="004244EF">
        <w:rPr>
          <w:rFonts w:ascii="Arial" w:eastAsia="Arial" w:hAnsi="Arial" w:cs="Arial"/>
          <w:sz w:val="24"/>
          <w:szCs w:val="24"/>
          <w:u w:val="single"/>
        </w:rPr>
        <w:t>las manifestaciones inmateriales</w:t>
      </w:r>
      <w:r w:rsidRPr="004244EF">
        <w:rPr>
          <w:rFonts w:ascii="Arial" w:eastAsia="Arial" w:hAnsi="Arial" w:cs="Arial"/>
          <w:sz w:val="24"/>
          <w:szCs w:val="24"/>
        </w:rPr>
        <w:t>,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0CA1C7EB" w14:textId="77777777" w:rsidR="00982C54" w:rsidRPr="004244EF" w:rsidRDefault="00982C54">
      <w:pPr>
        <w:jc w:val="both"/>
        <w:rPr>
          <w:rFonts w:ascii="Arial" w:eastAsia="Arial" w:hAnsi="Arial" w:cs="Arial"/>
          <w:sz w:val="24"/>
          <w:szCs w:val="24"/>
        </w:rPr>
      </w:pPr>
    </w:p>
    <w:p w14:paraId="357F354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Decreto 2941 de 2009. </w:t>
      </w:r>
      <w:r w:rsidRPr="004244EF">
        <w:rPr>
          <w:rFonts w:ascii="Arial" w:eastAsia="Arial" w:hAnsi="Arial" w:cs="Arial"/>
          <w:sz w:val="24"/>
          <w:szCs w:val="24"/>
        </w:rPr>
        <w:t>Por el cual se reglamenta parcialmente la Ley 397 de 1997 modificada por la Ley 1185 de 2008, en lo correspondiente al Patrimonio Cultural de la Nación de naturaleza inmaterial.</w:t>
      </w:r>
    </w:p>
    <w:p w14:paraId="6C2A9889"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b/>
          <w:sz w:val="24"/>
          <w:szCs w:val="24"/>
        </w:rPr>
        <w:t>Artículo 4°.</w:t>
      </w:r>
      <w:r w:rsidRPr="004244EF">
        <w:rPr>
          <w:rFonts w:ascii="Arial" w:eastAsia="Arial" w:hAnsi="Arial" w:cs="Arial"/>
          <w:sz w:val="24"/>
          <w:szCs w:val="24"/>
        </w:rPr>
        <w:t xml:space="preserve"> Fomento del Patrimonio Cultural Inmaterial. En consonancia con la Ley 397 de 1997, modificada por la Ley 1185 de 2008 y dentro de los límites, parámetros y procedimientos allí establecidos, </w:t>
      </w:r>
      <w:r w:rsidRPr="004244EF">
        <w:rPr>
          <w:rFonts w:ascii="Arial" w:eastAsia="Arial" w:hAnsi="Arial" w:cs="Arial"/>
          <w:sz w:val="24"/>
          <w:szCs w:val="24"/>
          <w:u w:val="single"/>
        </w:rPr>
        <w:t xml:space="preserve">las entidades que integran el Sistema Nacional de </w:t>
      </w:r>
      <w:r w:rsidRPr="004244EF">
        <w:rPr>
          <w:rFonts w:ascii="Arial" w:eastAsia="Arial" w:hAnsi="Arial" w:cs="Arial"/>
          <w:sz w:val="24"/>
          <w:szCs w:val="24"/>
          <w:u w:val="single"/>
        </w:rPr>
        <w:lastRenderedPageBreak/>
        <w:t>Patrimonio Cultural tienen la responsabilidad de fomentar la salvaguardia, sostenibilidad y divulgación del Patrimonio Cultural Inmaterial con el propósito de que este sirva como testimonio de la identidad cultural nacional en el presente y en el futuro.</w:t>
      </w:r>
      <w:r w:rsidRPr="004244EF">
        <w:rPr>
          <w:rFonts w:ascii="Arial" w:eastAsia="Arial" w:hAnsi="Arial" w:cs="Arial"/>
          <w:sz w:val="24"/>
          <w:szCs w:val="24"/>
        </w:rPr>
        <w:t xml:space="preserve"> Para el efecto, las entidades estatales de conformidad con sus facultades legales, podrán destinar los recursos necesarios para este fin. El Ministerio de Cultura, de conformidad con la Ley 1037 de 2006, aprobatoria de la Convención de la Unesco para la Salvaguardia del Patrimonio Cultural Inmaterial, en coordinación con sus entidades adscritas, entidades territoriales y </w:t>
      </w:r>
      <w:r w:rsidRPr="004244EF">
        <w:rPr>
          <w:rFonts w:ascii="Arial" w:eastAsia="Arial" w:hAnsi="Arial" w:cs="Arial"/>
          <w:sz w:val="24"/>
          <w:szCs w:val="24"/>
          <w:u w:val="single"/>
        </w:rPr>
        <w:t>las instancias del Sistema Nacional de Patrimonio Cultural, apoyará las iniciativas comunitarias de documentación, investigación y revitalización de estas manifestaciones, y los programas de fomento legalmente facultados.</w:t>
      </w:r>
    </w:p>
    <w:p w14:paraId="392ABA21" w14:textId="77777777" w:rsidR="00982C54" w:rsidRPr="004244EF" w:rsidRDefault="00982C54">
      <w:pPr>
        <w:jc w:val="both"/>
        <w:rPr>
          <w:rFonts w:ascii="Arial" w:eastAsia="Arial" w:hAnsi="Arial" w:cs="Arial"/>
          <w:sz w:val="24"/>
          <w:szCs w:val="24"/>
          <w:u w:val="single"/>
        </w:rPr>
      </w:pPr>
    </w:p>
    <w:p w14:paraId="37334F4B"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Decreto 1080 de 2015. </w:t>
      </w:r>
      <w:r w:rsidRPr="004244EF">
        <w:rPr>
          <w:rFonts w:ascii="Arial" w:eastAsia="Arial" w:hAnsi="Arial" w:cs="Arial"/>
          <w:sz w:val="24"/>
          <w:szCs w:val="24"/>
        </w:rPr>
        <w:t>“Por medio del cual se expide el Decreto Único Reglamentario del Sector Cultura”</w:t>
      </w:r>
    </w:p>
    <w:p w14:paraId="4675B8C7"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2.12.3.1.8.</w:t>
      </w:r>
      <w:r w:rsidRPr="004244EF">
        <w:rPr>
          <w:rFonts w:ascii="Arial" w:eastAsia="Arial" w:hAnsi="Arial" w:cs="Arial"/>
          <w:sz w:val="24"/>
          <w:szCs w:val="24"/>
        </w:rPr>
        <w:t xml:space="preserve"> Línea 5 Integración. Esta línea busca la promoción de los instrumentos internacionales necesarios para que las industrias de la economía creativa </w:t>
      </w:r>
      <w:r w:rsidRPr="004244EF">
        <w:rPr>
          <w:rFonts w:ascii="Arial" w:eastAsia="Arial" w:hAnsi="Arial" w:cs="Arial"/>
          <w:sz w:val="24"/>
          <w:szCs w:val="24"/>
          <w:u w:val="single"/>
        </w:rPr>
        <w:t>obtengan acceso adecuado a mercados</w:t>
      </w:r>
      <w:r w:rsidRPr="004244EF">
        <w:rPr>
          <w:rFonts w:ascii="Arial" w:eastAsia="Arial" w:hAnsi="Arial" w:cs="Arial"/>
          <w:sz w:val="24"/>
          <w:szCs w:val="24"/>
        </w:rPr>
        <w:t xml:space="preserve"> fortaleciendo así su exportación, sin perjuicio de aquellos tratados y obligaciones internacionales suscritas y ratificadas por Colombia. Plantea la línea para la Integración, redes y desarrollo de mercado.</w:t>
      </w:r>
    </w:p>
    <w:p w14:paraId="2D3E7D8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u w:val="single"/>
        </w:rPr>
        <w:t>Se tiene como objetivo el propiciar la estimulación de habilidades y desarrollo de contenidos que permitan la ampliación de las capacidades sectoriales, mediante el fomento de las instancias de mediación, integración y circulación de bienes y servicios culturales y creativos</w:t>
      </w:r>
      <w:r w:rsidRPr="004244EF">
        <w:rPr>
          <w:rFonts w:ascii="Arial" w:eastAsia="Arial" w:hAnsi="Arial" w:cs="Arial"/>
          <w:sz w:val="24"/>
          <w:szCs w:val="24"/>
        </w:rPr>
        <w:t xml:space="preserve">; por medio de acciones que fortalezcan las audiencias; los mercados locales, nacionales e internacionales, y garanticen el acceso y el disfrute de las manifestaciones culturales propias. Así como la generación de hábitos en el consumo que fortalezcan el ciclo cultural. </w:t>
      </w:r>
    </w:p>
    <w:p w14:paraId="5162E967"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La implementación de esta línea se realizará a través de las siguientes acciones: </w:t>
      </w:r>
    </w:p>
    <w:p w14:paraId="5AA0FF3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1.Fortalecer a los mediadores del ecosistema de valor.</w:t>
      </w:r>
    </w:p>
    <w:p w14:paraId="6D6ACE6B"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sz w:val="24"/>
          <w:szCs w:val="24"/>
          <w:u w:val="single"/>
        </w:rPr>
        <w:t>2.Fortalecer las plataformas y mercados nacionales e internacionales de redes y de circulación de bienes y servicios culturales y creativos.</w:t>
      </w:r>
    </w:p>
    <w:p w14:paraId="357DD3F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3. Fortalecer el encuentro entre patrimonio y el turismo sostenible.</w:t>
      </w:r>
    </w:p>
    <w:p w14:paraId="373A40C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4. Crear estrategias para que el público colombiano acceda y apropie las manifestaciones culturales y creativas nacionales.</w:t>
      </w:r>
    </w:p>
    <w:p w14:paraId="50D461D8"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lastRenderedPageBreak/>
        <w:t>5. Poner en marcha los proyectos de interés nacional estratégicos de vocación naranja - PINES Naranja.</w:t>
      </w:r>
    </w:p>
    <w:p w14:paraId="7EBA7AD9" w14:textId="77777777" w:rsidR="00982C54" w:rsidRPr="004244EF" w:rsidRDefault="00982C54">
      <w:pPr>
        <w:jc w:val="both"/>
        <w:rPr>
          <w:rFonts w:ascii="Arial" w:eastAsia="Arial" w:hAnsi="Arial" w:cs="Arial"/>
          <w:sz w:val="24"/>
          <w:szCs w:val="24"/>
        </w:rPr>
      </w:pPr>
    </w:p>
    <w:p w14:paraId="5307DFCD" w14:textId="3B0FF51C" w:rsidR="00982C54" w:rsidRPr="004244EF" w:rsidRDefault="00D01ADF">
      <w:pPr>
        <w:jc w:val="both"/>
        <w:rPr>
          <w:rFonts w:ascii="Arial" w:eastAsia="Arial" w:hAnsi="Arial" w:cs="Arial"/>
          <w:b/>
          <w:sz w:val="24"/>
          <w:szCs w:val="24"/>
          <w:u w:val="single"/>
        </w:rPr>
      </w:pPr>
      <w:r>
        <w:rPr>
          <w:rFonts w:ascii="Arial" w:eastAsia="Arial" w:hAnsi="Arial" w:cs="Arial"/>
          <w:b/>
          <w:sz w:val="24"/>
          <w:szCs w:val="24"/>
          <w:u w:val="single"/>
        </w:rPr>
        <w:t xml:space="preserve">3.3. Marco Normativo Distrital </w:t>
      </w:r>
    </w:p>
    <w:p w14:paraId="702196CF"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Acuerdo Distrital 154 de 2005. "POR EL CUAL SE DECLARA ACTIVIDAD DE INTERÉS CULTURAL LOS "MERCADOS DE LAS PULGAS", QUE SE REALIZAN EN BOGOTA"</w:t>
      </w:r>
    </w:p>
    <w:p w14:paraId="53A36D26"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PRIMERO</w:t>
      </w:r>
      <w:r w:rsidRPr="004244EF">
        <w:rPr>
          <w:rFonts w:ascii="Arial" w:eastAsia="Arial" w:hAnsi="Arial" w:cs="Arial"/>
          <w:sz w:val="24"/>
          <w:szCs w:val="24"/>
        </w:rPr>
        <w:t>:  Adicionado por el art. 1, Acuerdo Distrital 544 de 2013. Declárese de interés cultural la actividad que realizan los "mercados de las pulgas", Asociación Mercados San alejo y Asociación de Expositores Toldos de San Pelayo, en la ciudad de Bogotá.</w:t>
      </w:r>
    </w:p>
    <w:p w14:paraId="3F9F1EA6"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b/>
          <w:sz w:val="24"/>
          <w:szCs w:val="24"/>
        </w:rPr>
        <w:t>ARTÍCULO SEGUNDO:</w:t>
      </w:r>
      <w:r w:rsidRPr="004244EF">
        <w:rPr>
          <w:rFonts w:ascii="Arial" w:eastAsia="Arial" w:hAnsi="Arial" w:cs="Arial"/>
          <w:sz w:val="24"/>
          <w:szCs w:val="24"/>
        </w:rPr>
        <w:t xml:space="preserve"> </w:t>
      </w:r>
      <w:r w:rsidRPr="004244EF">
        <w:rPr>
          <w:rFonts w:ascii="Arial" w:eastAsia="Arial" w:hAnsi="Arial" w:cs="Arial"/>
          <w:sz w:val="24"/>
          <w:szCs w:val="24"/>
          <w:u w:val="single"/>
        </w:rPr>
        <w:t>El Instituto Distrital de Cultura y Turismo. IDCT- y las demás entidades distritales y locales pertinentes, velarán, apoyarán, conforme a sus competencias y disponibilidad presupuestal, por la conservación, estímulo y divulgación de la actividad cultural y económica de estos "mercados de las pulgas" teniendo en cuenta la normatividad vigente.</w:t>
      </w:r>
    </w:p>
    <w:p w14:paraId="5667A9F5" w14:textId="77777777" w:rsidR="00982C54" w:rsidRPr="004244EF" w:rsidRDefault="00982C54">
      <w:pPr>
        <w:jc w:val="both"/>
        <w:rPr>
          <w:rFonts w:ascii="Arial" w:eastAsia="Arial" w:hAnsi="Arial" w:cs="Arial"/>
          <w:b/>
          <w:sz w:val="24"/>
          <w:szCs w:val="24"/>
        </w:rPr>
      </w:pPr>
    </w:p>
    <w:p w14:paraId="61F00C2B"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Acuerdo Distrital 544 de 2013. "POR MEDIO DEL CUAL SE MODIFICA EL ACUERDO 154 DE 2005 Y SE DICTAN OTRAS DISPOSICIONES"</w:t>
      </w:r>
    </w:p>
    <w:p w14:paraId="510FCA9A"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1</w:t>
      </w:r>
      <w:r w:rsidRPr="004244EF">
        <w:rPr>
          <w:rFonts w:ascii="Arial" w:eastAsia="Arial" w:hAnsi="Arial" w:cs="Arial"/>
          <w:sz w:val="24"/>
          <w:szCs w:val="24"/>
        </w:rPr>
        <w:t>. Adiciónese el artículo primero del Acuerdo 154 de 2005, declarando de interés cultural la actividad que realiza la Asociación Mercado de Pulgas de Usaquén en la ciudad de Bogotá.</w:t>
      </w:r>
    </w:p>
    <w:p w14:paraId="65DC4EE2" w14:textId="77777777" w:rsidR="00982C54" w:rsidRPr="004244EF" w:rsidRDefault="00982C54">
      <w:pPr>
        <w:jc w:val="both"/>
        <w:rPr>
          <w:rFonts w:ascii="Arial" w:eastAsia="Arial" w:hAnsi="Arial" w:cs="Arial"/>
          <w:b/>
          <w:sz w:val="24"/>
          <w:szCs w:val="24"/>
        </w:rPr>
      </w:pPr>
    </w:p>
    <w:p w14:paraId="4FCB253E"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Decreto 070 de 2015.  "</w:t>
      </w:r>
      <w:r w:rsidRPr="004244EF">
        <w:rPr>
          <w:rFonts w:ascii="Arial" w:hAnsi="Arial" w:cs="Arial"/>
          <w:sz w:val="24"/>
          <w:szCs w:val="24"/>
        </w:rPr>
        <w:t xml:space="preserve"> </w:t>
      </w:r>
      <w:r w:rsidRPr="004244EF">
        <w:rPr>
          <w:rFonts w:ascii="Arial" w:eastAsia="Arial" w:hAnsi="Arial" w:cs="Arial"/>
          <w:b/>
          <w:sz w:val="24"/>
          <w:szCs w:val="24"/>
        </w:rPr>
        <w:t>“Por el cual se establece el Sistema Distrital de Patrimonio Cultural, se reasignan competencias y se dictan otras disposiciones”.</w:t>
      </w:r>
    </w:p>
    <w:p w14:paraId="3F60A001"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2º.</w:t>
      </w:r>
      <w:r w:rsidRPr="004244EF">
        <w:rPr>
          <w:rFonts w:ascii="Arial" w:eastAsia="Arial" w:hAnsi="Arial" w:cs="Arial"/>
          <w:sz w:val="24"/>
          <w:szCs w:val="24"/>
        </w:rPr>
        <w:t xml:space="preserve"> Objeto. El Sistema Distrital de Patrimonio Cultural tiene por objeto contribuir a la valoración, </w:t>
      </w:r>
      <w:r w:rsidRPr="004244EF">
        <w:rPr>
          <w:rFonts w:ascii="Arial" w:eastAsia="Arial" w:hAnsi="Arial" w:cs="Arial"/>
          <w:sz w:val="24"/>
          <w:szCs w:val="24"/>
          <w:u w:val="single"/>
        </w:rPr>
        <w:t>preservación, salvaguardia, protección, recuperación, conservación, gestión para la sostenibilidad, divulgación y apropiación social del patrimonio cultural de Bogotá D.C.,</w:t>
      </w:r>
      <w:r w:rsidRPr="004244EF">
        <w:rPr>
          <w:rFonts w:ascii="Arial" w:eastAsia="Arial" w:hAnsi="Arial" w:cs="Arial"/>
          <w:sz w:val="24"/>
          <w:szCs w:val="24"/>
        </w:rPr>
        <w:t xml:space="preserve"> de acuerdo con lo establecido en la Constitución Política de Colombia y las leyes sobre la materia, bajo los principios de descentralización, diversidad, participación, coordinación y autonomía.</w:t>
      </w:r>
    </w:p>
    <w:p w14:paraId="78E71017"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lastRenderedPageBreak/>
        <w:t xml:space="preserve">ARTÍCULO 3º. </w:t>
      </w:r>
      <w:r w:rsidRPr="004244EF">
        <w:rPr>
          <w:rFonts w:ascii="Arial" w:eastAsia="Arial" w:hAnsi="Arial" w:cs="Arial"/>
          <w:sz w:val="24"/>
          <w:szCs w:val="24"/>
        </w:rPr>
        <w:t>Entidades que conforman el Sistema Distrital de Patrimonio Cultural. El Sistema Distrital de Patrimonio Cultural estará conformado así:</w:t>
      </w:r>
    </w:p>
    <w:p w14:paraId="5361385E"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a. </w:t>
      </w:r>
      <w:r w:rsidRPr="004244EF">
        <w:rPr>
          <w:rFonts w:ascii="Arial" w:eastAsia="Arial" w:hAnsi="Arial" w:cs="Arial"/>
          <w:sz w:val="24"/>
          <w:szCs w:val="24"/>
          <w:u w:val="single"/>
        </w:rPr>
        <w:t>Secretaría Distrital de Cultura, Recreación y Deporte.</w:t>
      </w:r>
    </w:p>
    <w:p w14:paraId="53BC4B49"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b. Secretaría Distrital de Planeación.</w:t>
      </w:r>
    </w:p>
    <w:p w14:paraId="79A100E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c. Instituto Distrital de Patrimonio Cultural.</w:t>
      </w:r>
    </w:p>
    <w:p w14:paraId="30AC0EB5"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d. Consejo Distrital de Patrimonio Cultural.</w:t>
      </w:r>
    </w:p>
    <w:p w14:paraId="53BD148A" w14:textId="77777777" w:rsidR="00982C54" w:rsidRPr="004244EF" w:rsidRDefault="002B3583">
      <w:pPr>
        <w:jc w:val="both"/>
        <w:rPr>
          <w:rFonts w:ascii="Arial" w:eastAsia="Arial" w:hAnsi="Arial" w:cs="Arial"/>
          <w:sz w:val="24"/>
          <w:szCs w:val="24"/>
          <w:u w:val="single"/>
        </w:rPr>
      </w:pPr>
      <w:r w:rsidRPr="004244EF">
        <w:rPr>
          <w:rFonts w:ascii="Arial" w:eastAsia="Arial" w:hAnsi="Arial" w:cs="Arial"/>
          <w:sz w:val="24"/>
          <w:szCs w:val="24"/>
        </w:rPr>
        <w:t xml:space="preserve">e. </w:t>
      </w:r>
      <w:r w:rsidRPr="004244EF">
        <w:rPr>
          <w:rFonts w:ascii="Arial" w:eastAsia="Arial" w:hAnsi="Arial" w:cs="Arial"/>
          <w:sz w:val="24"/>
          <w:szCs w:val="24"/>
          <w:u w:val="single"/>
        </w:rPr>
        <w:t>Alcaldías Locales.</w:t>
      </w:r>
    </w:p>
    <w:p w14:paraId="17C9C35C"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f. Mesa de Consejeros Locales de Patrimonio Cultural.</w:t>
      </w:r>
    </w:p>
    <w:p w14:paraId="3258500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g. Archivo Distrital de Bogotá</w:t>
      </w:r>
    </w:p>
    <w:p w14:paraId="0101F6F5"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4º.</w:t>
      </w:r>
      <w:r w:rsidRPr="004244EF">
        <w:rPr>
          <w:rFonts w:ascii="Arial" w:eastAsia="Arial" w:hAnsi="Arial" w:cs="Arial"/>
          <w:sz w:val="24"/>
          <w:szCs w:val="24"/>
        </w:rPr>
        <w:t xml:space="preserve"> Competencias de la Secretaría Distrital de Cultura, Recreación y Deporte: Corresponde a la Secretaría de Cultura, Recreación y Deporte: 1. Orientar y liderar la formulación concertada de políticas en el campo patrimonial; </w:t>
      </w:r>
      <w:r w:rsidRPr="004244EF">
        <w:rPr>
          <w:rFonts w:ascii="Arial" w:eastAsia="Arial" w:hAnsi="Arial" w:cs="Arial"/>
          <w:sz w:val="24"/>
          <w:szCs w:val="24"/>
          <w:u w:val="single"/>
        </w:rPr>
        <w:t>2. Orientar la articulación de las políticas distritales de patrimonio cultural, con otras políticas y planes del orden distrital, regional, nacional e internacional y prestar toda la colaboración sectorial e intersectorial para propender por su desarrollo.</w:t>
      </w:r>
      <w:r w:rsidRPr="004244EF">
        <w:rPr>
          <w:rFonts w:ascii="Arial" w:eastAsia="Arial" w:hAnsi="Arial" w:cs="Arial"/>
          <w:sz w:val="24"/>
          <w:szCs w:val="24"/>
        </w:rPr>
        <w:t xml:space="preserve"> 3. Apoyar al Instituto Distrital de Patrimonio Cultural y a la Secretaría Distrital de Planeación,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 4. Ejercer seguimiento sobre la debida ejecución de los planes de gestión del Instituto Distrital de Patrimonio Cultural. 5. Participar en la formulación del Plan de Desarrollo del Distrito Capital en los aspectos referentes a la Cultura, el Arte, el Patrimonio, la Recreación y el Deporte. </w:t>
      </w:r>
      <w:r w:rsidRPr="004244EF">
        <w:rPr>
          <w:rFonts w:ascii="Arial" w:eastAsia="Arial" w:hAnsi="Arial" w:cs="Arial"/>
          <w:sz w:val="24"/>
          <w:szCs w:val="24"/>
          <w:u w:val="single"/>
        </w:rPr>
        <w:t>6. Diseñar estrategias de divulgación y conservación del patrimonio cultural tangible e intangible.</w:t>
      </w:r>
    </w:p>
    <w:p w14:paraId="436BB825" w14:textId="77777777" w:rsidR="00982C54" w:rsidRPr="004244EF" w:rsidRDefault="00982C54">
      <w:pPr>
        <w:jc w:val="both"/>
        <w:rPr>
          <w:rFonts w:ascii="Arial" w:eastAsia="Arial" w:hAnsi="Arial" w:cs="Arial"/>
          <w:sz w:val="24"/>
          <w:szCs w:val="24"/>
        </w:rPr>
      </w:pPr>
    </w:p>
    <w:p w14:paraId="1684448D"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5º.</w:t>
      </w:r>
      <w:r w:rsidRPr="004244EF">
        <w:rPr>
          <w:rFonts w:ascii="Arial" w:eastAsia="Arial" w:hAnsi="Arial" w:cs="Arial"/>
          <w:sz w:val="24"/>
          <w:szCs w:val="24"/>
        </w:rPr>
        <w:t xml:space="preserve"> Competencias de la Secretaria Distrital de Planeación. La Secretaría Distrital de Planeación cumplirá a través de la Dirección de Patrimonio y Renovación Urbana, las siguientes funciones: </w:t>
      </w:r>
      <w:r w:rsidRPr="004244EF">
        <w:rPr>
          <w:rFonts w:ascii="Arial" w:eastAsia="Arial" w:hAnsi="Arial" w:cs="Arial"/>
          <w:sz w:val="24"/>
          <w:szCs w:val="24"/>
          <w:u w:val="single"/>
        </w:rPr>
        <w:t>1. Desarrollar propuestas normativas para armonizar la protección del patrimonio cultural con el ordenamiento territorial de la ciudad y los instrumentos de planeamiento, financiación y gestión urbana.</w:t>
      </w:r>
      <w:r w:rsidRPr="004244EF">
        <w:rPr>
          <w:rFonts w:ascii="Arial" w:eastAsia="Arial" w:hAnsi="Arial" w:cs="Arial"/>
          <w:sz w:val="24"/>
          <w:szCs w:val="24"/>
        </w:rPr>
        <w:t xml:space="preserve"> 2. Fijar en coordinación con el Instituto Distrital de Patrimonio Cultural, los requisitos técnicos específicos adicionales y las precisiones a que haya lugar, para la formulación y aprobación de los Planes Especiales de Manejo y Protección. </w:t>
      </w:r>
      <w:r w:rsidRPr="004244EF">
        <w:rPr>
          <w:rFonts w:ascii="Arial" w:eastAsia="Arial" w:hAnsi="Arial" w:cs="Arial"/>
          <w:sz w:val="24"/>
          <w:szCs w:val="24"/>
          <w:u w:val="single"/>
        </w:rPr>
        <w:t>3. Emitir concepto normativo vinculante respecto de los Planes Especiales de Manejo y Protección, previo a su presentación ante el Consejo Distrital de Patrimonio Cultural.</w:t>
      </w:r>
      <w:r w:rsidRPr="004244EF">
        <w:rPr>
          <w:rFonts w:ascii="Arial" w:eastAsia="Arial" w:hAnsi="Arial" w:cs="Arial"/>
          <w:sz w:val="24"/>
          <w:szCs w:val="24"/>
        </w:rPr>
        <w:t xml:space="preserve"> 4. Dirigir la incorporación y articulación de Planes Especiales de Manejo y Protección y los Planes de Manejo Arqueológico, con el Plan de Ordenamiento Territorial del Distrito Capital y sus instrumentos reglamentarios. 5. Apoyar al Instituto Distrital de Patrimonio Cultural y a la Secretaría Distrital de Cultura, Recreación y Deporte, en la elaboración de estrategias y propuestas normativas para la salvaguardia, protección, recuperación, conservación, sostenibilidad y divulgación del patrimonio material e inmaterial, en armonía con el ordenamiento territorial de la ciudad y los instrumentos de planeamiento y gestión urbana.</w:t>
      </w:r>
    </w:p>
    <w:p w14:paraId="6B46A3BF" w14:textId="77777777" w:rsidR="00982C54" w:rsidRPr="004244EF" w:rsidRDefault="00982C54">
      <w:pPr>
        <w:jc w:val="both"/>
        <w:rPr>
          <w:rFonts w:ascii="Arial" w:eastAsia="Arial" w:hAnsi="Arial" w:cs="Arial"/>
          <w:b/>
          <w:sz w:val="24"/>
          <w:szCs w:val="24"/>
        </w:rPr>
      </w:pPr>
    </w:p>
    <w:p w14:paraId="1004BE04"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4. COMPETENCIAS DEL CONCEJO </w:t>
      </w:r>
    </w:p>
    <w:p w14:paraId="20FA5B06" w14:textId="77777777" w:rsidR="00982C54" w:rsidRPr="004244EF" w:rsidRDefault="00982C54">
      <w:pPr>
        <w:jc w:val="both"/>
        <w:rPr>
          <w:rFonts w:ascii="Arial" w:eastAsia="Arial" w:hAnsi="Arial" w:cs="Arial"/>
          <w:b/>
          <w:sz w:val="24"/>
          <w:szCs w:val="24"/>
        </w:rPr>
      </w:pPr>
    </w:p>
    <w:p w14:paraId="3F82B82A"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Del nivel Constitucional </w:t>
      </w:r>
    </w:p>
    <w:p w14:paraId="14E00BF0"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313. </w:t>
      </w:r>
      <w:r w:rsidRPr="004244EF">
        <w:rPr>
          <w:rFonts w:ascii="Arial" w:eastAsia="Arial" w:hAnsi="Arial" w:cs="Arial"/>
          <w:sz w:val="24"/>
          <w:szCs w:val="24"/>
        </w:rPr>
        <w:t>Corresponde a los concejos:</w:t>
      </w:r>
    </w:p>
    <w:p w14:paraId="7236A025"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1. Reglamentar las funciones y la </w:t>
      </w:r>
      <w:r w:rsidRPr="004244EF">
        <w:rPr>
          <w:rFonts w:ascii="Arial" w:eastAsia="Arial" w:hAnsi="Arial" w:cs="Arial"/>
          <w:sz w:val="24"/>
          <w:szCs w:val="24"/>
          <w:u w:val="single"/>
        </w:rPr>
        <w:t>eficiente prestación de los servicios</w:t>
      </w:r>
      <w:r w:rsidRPr="004244EF">
        <w:rPr>
          <w:rFonts w:ascii="Arial" w:eastAsia="Arial" w:hAnsi="Arial" w:cs="Arial"/>
          <w:sz w:val="24"/>
          <w:szCs w:val="24"/>
        </w:rPr>
        <w:t xml:space="preserve"> a cargo del municipio.</w:t>
      </w:r>
    </w:p>
    <w:p w14:paraId="34AAA0DB"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2. Adoptar los correspondientes planes y programas de desarrollo económico y social y de obras públicas.</w:t>
      </w:r>
    </w:p>
    <w:p w14:paraId="10E9BD50"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3. Autorizar al alcalde para celebrar contratos y ejercer pro tempore precisas funciones de las que corresponden al Concejo.</w:t>
      </w:r>
    </w:p>
    <w:p w14:paraId="72107209"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4. Votar de conformidad con la Constitución y la ley los tributos y los gastos locales.</w:t>
      </w:r>
    </w:p>
    <w:p w14:paraId="7BF3CA8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5. Dictar las normas orgánicas del presupuesto y expedir anualmente el presupuesto de rentas y gastos.  Constitución Política de Colombia [</w:t>
      </w:r>
      <w:proofErr w:type="spellStart"/>
      <w:r w:rsidRPr="004244EF">
        <w:rPr>
          <w:rFonts w:ascii="Arial" w:eastAsia="Arial" w:hAnsi="Arial" w:cs="Arial"/>
          <w:sz w:val="24"/>
          <w:szCs w:val="24"/>
        </w:rPr>
        <w:t>Const</w:t>
      </w:r>
      <w:proofErr w:type="spellEnd"/>
      <w:r w:rsidRPr="004244EF">
        <w:rPr>
          <w:rFonts w:ascii="Arial" w:eastAsia="Arial" w:hAnsi="Arial" w:cs="Arial"/>
          <w:sz w:val="24"/>
          <w:szCs w:val="24"/>
        </w:rPr>
        <w:t>]. Art. 313. 7 de julio de 1991 (Colombia).</w:t>
      </w:r>
    </w:p>
    <w:p w14:paraId="52ACFE8C" w14:textId="77777777" w:rsidR="00982C54" w:rsidRPr="004244EF" w:rsidRDefault="00982C54">
      <w:pPr>
        <w:jc w:val="both"/>
        <w:rPr>
          <w:rFonts w:ascii="Arial" w:eastAsia="Arial" w:hAnsi="Arial" w:cs="Arial"/>
          <w:sz w:val="24"/>
          <w:szCs w:val="24"/>
        </w:rPr>
      </w:pPr>
    </w:p>
    <w:p w14:paraId="51AE1D8B" w14:textId="67D9DB81"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D</w:t>
      </w:r>
      <w:r w:rsidR="00D01ADF" w:rsidRPr="004244EF">
        <w:rPr>
          <w:rFonts w:ascii="Arial" w:eastAsia="Arial" w:hAnsi="Arial" w:cs="Arial"/>
          <w:b/>
          <w:sz w:val="24"/>
          <w:szCs w:val="24"/>
        </w:rPr>
        <w:t xml:space="preserve">ecreto ley </w:t>
      </w:r>
      <w:r w:rsidRPr="004244EF">
        <w:rPr>
          <w:rFonts w:ascii="Arial" w:eastAsia="Arial" w:hAnsi="Arial" w:cs="Arial"/>
          <w:b/>
          <w:sz w:val="24"/>
          <w:szCs w:val="24"/>
        </w:rPr>
        <w:t xml:space="preserve">1421 de 1993 </w:t>
      </w:r>
    </w:p>
    <w:p w14:paraId="1FB051C9"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Artículo 12.</w:t>
      </w:r>
      <w:r w:rsidRPr="004244EF">
        <w:rPr>
          <w:rFonts w:ascii="Arial" w:eastAsia="Arial" w:hAnsi="Arial" w:cs="Arial"/>
          <w:sz w:val="24"/>
          <w:szCs w:val="24"/>
        </w:rPr>
        <w:t xml:space="preserve"> </w:t>
      </w:r>
      <w:r w:rsidRPr="004244EF">
        <w:rPr>
          <w:rFonts w:ascii="Arial" w:eastAsia="Arial" w:hAnsi="Arial" w:cs="Arial"/>
          <w:i/>
          <w:sz w:val="24"/>
          <w:szCs w:val="24"/>
        </w:rPr>
        <w:t>Atribuciones</w:t>
      </w:r>
      <w:r w:rsidRPr="004244EF">
        <w:rPr>
          <w:rFonts w:ascii="Arial" w:eastAsia="Arial" w:hAnsi="Arial" w:cs="Arial"/>
          <w:sz w:val="24"/>
          <w:szCs w:val="24"/>
        </w:rPr>
        <w:t>. Corresponde al Concejo Distrital, de conformidad con la Constitución y a la ley:</w:t>
      </w:r>
    </w:p>
    <w:p w14:paraId="4A3E6243"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1. Dictar las normas necesarias para garantizar el adecuado cumplimiento de las funciones y la eficiente prestación de los servicios a cargo del Distrito.</w:t>
      </w:r>
    </w:p>
    <w:p w14:paraId="564C80CD" w14:textId="77777777" w:rsidR="00982C54" w:rsidRPr="004244EF" w:rsidRDefault="00982C54">
      <w:pPr>
        <w:jc w:val="both"/>
        <w:rPr>
          <w:rFonts w:ascii="Arial" w:eastAsia="Arial" w:hAnsi="Arial" w:cs="Arial"/>
          <w:b/>
          <w:sz w:val="24"/>
          <w:szCs w:val="24"/>
        </w:rPr>
      </w:pPr>
    </w:p>
    <w:p w14:paraId="4FF617DB"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5. IMPACTO FISCAL </w:t>
      </w:r>
    </w:p>
    <w:p w14:paraId="2EFE0F2A"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Teniendo en cuenta los mandatos de la Ley 819 de 2003, se declara que el proyecto de acuerdo no genera un impacto fiscal que implique o conlleve a una modificación en el marco fiscal de mediano plazo, toda vez que no se incrementará el presupuesto del Distrito, ni ocasionará la creación de unas nueve fuentes de financiación.</w:t>
      </w:r>
    </w:p>
    <w:p w14:paraId="63989998" w14:textId="77777777" w:rsidR="00982C54" w:rsidRPr="004244EF" w:rsidRDefault="00982C54">
      <w:pPr>
        <w:jc w:val="both"/>
        <w:rPr>
          <w:rFonts w:ascii="Arial" w:eastAsia="Arial" w:hAnsi="Arial" w:cs="Arial"/>
          <w:sz w:val="24"/>
          <w:szCs w:val="24"/>
        </w:rPr>
      </w:pPr>
    </w:p>
    <w:p w14:paraId="7049462A" w14:textId="77777777" w:rsidR="00982C54" w:rsidRPr="004244EF" w:rsidRDefault="002B3583">
      <w:pPr>
        <w:jc w:val="both"/>
        <w:rPr>
          <w:rFonts w:ascii="Arial" w:eastAsia="Arial" w:hAnsi="Arial" w:cs="Arial"/>
          <w:b/>
          <w:sz w:val="24"/>
          <w:szCs w:val="24"/>
        </w:rPr>
      </w:pPr>
      <w:r w:rsidRPr="004244EF">
        <w:rPr>
          <w:rFonts w:ascii="Arial" w:eastAsia="Arial" w:hAnsi="Arial" w:cs="Arial"/>
          <w:b/>
          <w:sz w:val="24"/>
          <w:szCs w:val="24"/>
        </w:rPr>
        <w:t xml:space="preserve">6. CONCLUSIONES </w:t>
      </w:r>
    </w:p>
    <w:p w14:paraId="4615B351" w14:textId="77777777" w:rsidR="00982C54" w:rsidRPr="004244EF" w:rsidRDefault="002B3583">
      <w:pPr>
        <w:jc w:val="both"/>
        <w:rPr>
          <w:rFonts w:ascii="Arial" w:eastAsia="Arial" w:hAnsi="Arial" w:cs="Arial"/>
          <w:sz w:val="24"/>
          <w:szCs w:val="24"/>
        </w:rPr>
      </w:pPr>
      <w:r w:rsidRPr="004244EF">
        <w:rPr>
          <w:rFonts w:ascii="Arial" w:eastAsia="Arial" w:hAnsi="Arial" w:cs="Arial"/>
          <w:sz w:val="24"/>
          <w:szCs w:val="24"/>
        </w:rPr>
        <w:t xml:space="preserve">Este Proyecto de Acuerdo no solamente tendrá un impacto positivo sobre la economía de la ciudad, sino que será el piloto para las demás actividades que tengan contemplado el aprovechamiento del espacio público y la red de parques de la ciudad. A su vez, será la primera vez que se intente dinamizar la economía desde la inclusión de este tipo de espacios. Por último, este Proyecto ayudará a garantizar la igualdad y accesibilidad de los ciudadanos al ciclo económico de la ciudad desde una micro escala. Además de generar una cantidad considerable de empleos. </w:t>
      </w:r>
    </w:p>
    <w:p w14:paraId="498D0038" w14:textId="77777777" w:rsidR="007978F9" w:rsidRDefault="007978F9">
      <w:pPr>
        <w:jc w:val="both"/>
        <w:rPr>
          <w:rFonts w:ascii="Arial" w:eastAsia="Arial" w:hAnsi="Arial" w:cs="Arial"/>
          <w:sz w:val="24"/>
          <w:szCs w:val="24"/>
        </w:rPr>
      </w:pPr>
    </w:p>
    <w:p w14:paraId="414E3D5C" w14:textId="786B009C" w:rsidR="007978F9" w:rsidRPr="007978F9" w:rsidRDefault="007978F9" w:rsidP="007978F9">
      <w:pPr>
        <w:spacing w:after="0" w:line="276" w:lineRule="auto"/>
        <w:jc w:val="both"/>
        <w:rPr>
          <w:rFonts w:ascii="Arial" w:eastAsia="Arial" w:hAnsi="Arial" w:cs="Arial"/>
          <w:sz w:val="24"/>
          <w:szCs w:val="24"/>
          <w:lang w:eastAsia="es-ES_tradnl"/>
        </w:rPr>
      </w:pPr>
      <w:r w:rsidRPr="007978F9">
        <w:rPr>
          <w:rFonts w:ascii="Arial" w:eastAsia="Arial" w:hAnsi="Arial" w:cs="Arial"/>
          <w:sz w:val="24"/>
          <w:szCs w:val="24"/>
          <w:lang w:eastAsia="es-ES_tradnl"/>
        </w:rPr>
        <w:t xml:space="preserve">Cordialmente, </w:t>
      </w:r>
    </w:p>
    <w:p w14:paraId="7194C42A" w14:textId="6F85B3A4" w:rsidR="007978F9" w:rsidRPr="007978F9" w:rsidRDefault="007978F9" w:rsidP="007978F9">
      <w:pPr>
        <w:spacing w:after="0" w:line="276" w:lineRule="auto"/>
        <w:jc w:val="both"/>
        <w:rPr>
          <w:rFonts w:ascii="Arial" w:eastAsia="Arial" w:hAnsi="Arial" w:cs="Arial"/>
          <w:sz w:val="24"/>
          <w:szCs w:val="24"/>
          <w:lang w:eastAsia="es-ES_tradnl"/>
        </w:rPr>
      </w:pPr>
    </w:p>
    <w:p w14:paraId="733685FA" w14:textId="4A8EA510" w:rsidR="007978F9" w:rsidRPr="007978F9" w:rsidRDefault="007978F9" w:rsidP="007978F9">
      <w:pPr>
        <w:spacing w:after="0" w:line="276" w:lineRule="auto"/>
        <w:jc w:val="both"/>
        <w:rPr>
          <w:rFonts w:ascii="Arial" w:eastAsia="Arial" w:hAnsi="Arial" w:cs="Arial"/>
          <w:sz w:val="24"/>
          <w:szCs w:val="24"/>
          <w:lang w:eastAsia="es-ES_tradnl"/>
        </w:rPr>
      </w:pPr>
    </w:p>
    <w:p w14:paraId="0DBEB871" w14:textId="7EDAE289" w:rsidR="007978F9" w:rsidRPr="007978F9" w:rsidRDefault="007978F9" w:rsidP="007978F9">
      <w:pPr>
        <w:spacing w:after="0" w:line="276" w:lineRule="auto"/>
        <w:jc w:val="both"/>
        <w:rPr>
          <w:rFonts w:ascii="Arial" w:eastAsia="Arial" w:hAnsi="Arial" w:cs="Arial"/>
          <w:sz w:val="24"/>
          <w:szCs w:val="24"/>
          <w:lang w:eastAsia="es-ES_tradnl"/>
        </w:rPr>
      </w:pPr>
    </w:p>
    <w:p w14:paraId="68B67AD3" w14:textId="373F1BB1" w:rsidR="007978F9" w:rsidRPr="007978F9" w:rsidRDefault="007978F9" w:rsidP="007978F9">
      <w:pPr>
        <w:spacing w:after="0" w:line="240" w:lineRule="auto"/>
        <w:jc w:val="both"/>
        <w:rPr>
          <w:rFonts w:ascii="Arial" w:eastAsia="Arial" w:hAnsi="Arial" w:cs="Arial"/>
          <w:b/>
          <w:sz w:val="24"/>
          <w:szCs w:val="24"/>
          <w:lang w:eastAsia="es-ES_tradnl"/>
        </w:rPr>
      </w:pPr>
    </w:p>
    <w:p w14:paraId="3B92DE33"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DIANA MARCELA DIAGO GUAQUETA</w:t>
      </w:r>
    </w:p>
    <w:p w14:paraId="0C631370"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 xml:space="preserve">Concejal de Bogotá D.C </w:t>
      </w:r>
    </w:p>
    <w:p w14:paraId="4FED590C" w14:textId="77777777" w:rsidR="007978F9" w:rsidRPr="007978F9" w:rsidRDefault="007978F9" w:rsidP="007978F9">
      <w:pPr>
        <w:spacing w:after="0" w:line="240" w:lineRule="auto"/>
        <w:jc w:val="both"/>
        <w:rPr>
          <w:rFonts w:ascii="Arial" w:eastAsia="Arial" w:hAnsi="Arial" w:cs="Arial"/>
          <w:b/>
          <w:sz w:val="24"/>
          <w:szCs w:val="24"/>
          <w:lang w:eastAsia="es-ES_tradnl"/>
        </w:rPr>
      </w:pPr>
      <w:r w:rsidRPr="007978F9">
        <w:rPr>
          <w:rFonts w:ascii="Arial" w:eastAsia="Arial" w:hAnsi="Arial" w:cs="Arial"/>
          <w:b/>
          <w:sz w:val="24"/>
          <w:szCs w:val="24"/>
          <w:lang w:eastAsia="es-ES_tradnl"/>
        </w:rPr>
        <w:t xml:space="preserve">Partido Centro Democrático </w:t>
      </w:r>
    </w:p>
    <w:p w14:paraId="5F7E0563" w14:textId="77777777" w:rsidR="007978F9" w:rsidRPr="004244EF" w:rsidRDefault="007978F9">
      <w:pPr>
        <w:jc w:val="both"/>
        <w:rPr>
          <w:rFonts w:ascii="Arial" w:eastAsia="Arial" w:hAnsi="Arial" w:cs="Arial"/>
          <w:sz w:val="24"/>
          <w:szCs w:val="24"/>
        </w:rPr>
      </w:pPr>
    </w:p>
    <w:p w14:paraId="00A1939D" w14:textId="77777777" w:rsidR="00982C54" w:rsidRDefault="00982C54">
      <w:pPr>
        <w:jc w:val="both"/>
        <w:rPr>
          <w:rFonts w:ascii="Arial" w:eastAsia="Arial" w:hAnsi="Arial" w:cs="Arial"/>
          <w:sz w:val="24"/>
          <w:szCs w:val="24"/>
        </w:rPr>
      </w:pPr>
    </w:p>
    <w:p w14:paraId="51A8B00C" w14:textId="77777777" w:rsidR="00A66C65" w:rsidRPr="004244EF" w:rsidRDefault="00A66C65">
      <w:pPr>
        <w:jc w:val="both"/>
        <w:rPr>
          <w:rFonts w:ascii="Arial" w:eastAsia="Arial" w:hAnsi="Arial" w:cs="Arial"/>
          <w:b/>
          <w:sz w:val="24"/>
          <w:szCs w:val="24"/>
        </w:rPr>
      </w:pPr>
    </w:p>
    <w:p w14:paraId="4F76972C" w14:textId="77777777" w:rsidR="00982C54" w:rsidRPr="004244EF" w:rsidRDefault="00982C54">
      <w:pPr>
        <w:jc w:val="both"/>
        <w:rPr>
          <w:rFonts w:ascii="Arial" w:eastAsia="Arial" w:hAnsi="Arial" w:cs="Arial"/>
          <w:b/>
          <w:sz w:val="24"/>
          <w:szCs w:val="24"/>
        </w:rPr>
      </w:pPr>
    </w:p>
    <w:p w14:paraId="13925DFC" w14:textId="77777777" w:rsidR="00982C54" w:rsidRPr="004244EF" w:rsidRDefault="00982C54">
      <w:pPr>
        <w:jc w:val="both"/>
        <w:rPr>
          <w:rFonts w:ascii="Arial" w:eastAsia="Arial" w:hAnsi="Arial" w:cs="Arial"/>
          <w:b/>
          <w:sz w:val="24"/>
          <w:szCs w:val="24"/>
        </w:rPr>
      </w:pPr>
    </w:p>
    <w:p w14:paraId="712C4EB5" w14:textId="77777777" w:rsidR="00982C54" w:rsidRPr="004244EF" w:rsidRDefault="00982C54">
      <w:pPr>
        <w:jc w:val="both"/>
        <w:rPr>
          <w:rFonts w:ascii="Arial" w:eastAsia="Arial" w:hAnsi="Arial" w:cs="Arial"/>
          <w:b/>
          <w:sz w:val="24"/>
          <w:szCs w:val="24"/>
        </w:rPr>
      </w:pPr>
    </w:p>
    <w:p w14:paraId="4BD45E81" w14:textId="77777777" w:rsidR="00982C54" w:rsidRPr="004244EF" w:rsidRDefault="00982C54">
      <w:pPr>
        <w:jc w:val="both"/>
        <w:rPr>
          <w:rFonts w:ascii="Arial" w:eastAsia="Arial" w:hAnsi="Arial" w:cs="Arial"/>
          <w:b/>
          <w:sz w:val="24"/>
          <w:szCs w:val="24"/>
        </w:rPr>
      </w:pPr>
    </w:p>
    <w:p w14:paraId="2D3A524E" w14:textId="77777777" w:rsidR="00982C54" w:rsidRPr="004244EF" w:rsidRDefault="00982C54">
      <w:pPr>
        <w:jc w:val="center"/>
        <w:rPr>
          <w:rFonts w:ascii="Arial" w:eastAsia="Arial" w:hAnsi="Arial" w:cs="Arial"/>
          <w:b/>
          <w:sz w:val="24"/>
          <w:szCs w:val="24"/>
        </w:rPr>
      </w:pPr>
    </w:p>
    <w:p w14:paraId="31745334" w14:textId="2F11720F"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PROYEC</w:t>
      </w:r>
      <w:r w:rsidR="00620026">
        <w:rPr>
          <w:rFonts w:ascii="Arial" w:eastAsia="Arial" w:hAnsi="Arial" w:cs="Arial"/>
          <w:b/>
          <w:sz w:val="24"/>
          <w:szCs w:val="24"/>
        </w:rPr>
        <w:t>TO DE ACUERDO N. _______ DE 202</w:t>
      </w:r>
      <w:r w:rsidR="00D01ADF">
        <w:rPr>
          <w:rFonts w:ascii="Arial" w:eastAsia="Arial" w:hAnsi="Arial" w:cs="Arial"/>
          <w:b/>
          <w:sz w:val="24"/>
          <w:szCs w:val="24"/>
        </w:rPr>
        <w:t>5</w:t>
      </w:r>
    </w:p>
    <w:p w14:paraId="56A8B5B3" w14:textId="77777777" w:rsidR="00982C54" w:rsidRPr="00D4597A" w:rsidRDefault="002B3583">
      <w:pPr>
        <w:jc w:val="center"/>
        <w:rPr>
          <w:rFonts w:ascii="Arial" w:eastAsia="Arial" w:hAnsi="Arial" w:cs="Arial"/>
          <w:b/>
          <w:sz w:val="24"/>
          <w:szCs w:val="24"/>
        </w:rPr>
      </w:pPr>
      <w:r w:rsidRPr="00D4597A">
        <w:rPr>
          <w:rFonts w:ascii="Arial" w:eastAsia="Arial" w:hAnsi="Arial" w:cs="Arial"/>
          <w:b/>
          <w:sz w:val="24"/>
          <w:szCs w:val="24"/>
        </w:rPr>
        <w:t>"POR MEDIO DEL CUAL SE CONFORMA LA RED DE MERCADOS DE PULGAS EN LOS PARQUES DE LA CIUDAD Y SE DICTAN OTRAS DISPOSICIONES"</w:t>
      </w:r>
    </w:p>
    <w:p w14:paraId="214F7CA1" w14:textId="77777777" w:rsidR="00982C54" w:rsidRPr="00D4597A" w:rsidRDefault="00982C54">
      <w:pPr>
        <w:jc w:val="center"/>
        <w:rPr>
          <w:rFonts w:ascii="Arial" w:eastAsia="Arial" w:hAnsi="Arial" w:cs="Arial"/>
          <w:b/>
          <w:sz w:val="24"/>
          <w:szCs w:val="24"/>
        </w:rPr>
      </w:pPr>
    </w:p>
    <w:p w14:paraId="016CF5D9" w14:textId="77777777" w:rsidR="004244EF" w:rsidRPr="004244EF" w:rsidRDefault="002B3583">
      <w:pPr>
        <w:jc w:val="center"/>
        <w:rPr>
          <w:rFonts w:ascii="Arial" w:eastAsia="Arial" w:hAnsi="Arial" w:cs="Arial"/>
          <w:sz w:val="24"/>
          <w:szCs w:val="24"/>
        </w:rPr>
      </w:pPr>
      <w:r w:rsidRPr="004244EF">
        <w:rPr>
          <w:rFonts w:ascii="Arial" w:eastAsia="Arial" w:hAnsi="Arial" w:cs="Arial"/>
          <w:sz w:val="24"/>
          <w:szCs w:val="24"/>
        </w:rPr>
        <w:t>EL CONCEJO DE BOGOTÁ</w:t>
      </w:r>
    </w:p>
    <w:p w14:paraId="4C2032A4" w14:textId="77777777" w:rsidR="00982C54" w:rsidRPr="004244EF" w:rsidRDefault="002B3583">
      <w:pPr>
        <w:jc w:val="center"/>
        <w:rPr>
          <w:rFonts w:ascii="Arial" w:eastAsia="Arial" w:hAnsi="Arial" w:cs="Arial"/>
          <w:sz w:val="24"/>
          <w:szCs w:val="24"/>
        </w:rPr>
      </w:pPr>
      <w:r w:rsidRPr="004244EF">
        <w:rPr>
          <w:rFonts w:ascii="Arial" w:eastAsia="Arial" w:hAnsi="Arial" w:cs="Arial"/>
          <w:sz w:val="24"/>
          <w:szCs w:val="24"/>
        </w:rPr>
        <w:t xml:space="preserve">En ejercicio de sus atribuciones constitucionales y legales y, en especial de las que les confiere el numeral 1 y 25 del artículo 12 del Decreto Ley 1421 de 1993. </w:t>
      </w:r>
    </w:p>
    <w:p w14:paraId="0A4388E3" w14:textId="77777777" w:rsidR="00982C54" w:rsidRPr="004244EF" w:rsidRDefault="00982C54">
      <w:pPr>
        <w:jc w:val="center"/>
        <w:rPr>
          <w:rFonts w:ascii="Arial" w:eastAsia="Arial" w:hAnsi="Arial" w:cs="Arial"/>
          <w:b/>
          <w:sz w:val="24"/>
          <w:szCs w:val="24"/>
        </w:rPr>
      </w:pPr>
    </w:p>
    <w:p w14:paraId="5BE71A18" w14:textId="77777777" w:rsidR="00982C54" w:rsidRPr="004244EF" w:rsidRDefault="002B3583">
      <w:pPr>
        <w:jc w:val="center"/>
        <w:rPr>
          <w:rFonts w:ascii="Arial" w:eastAsia="Arial" w:hAnsi="Arial" w:cs="Arial"/>
          <w:b/>
          <w:sz w:val="24"/>
          <w:szCs w:val="24"/>
        </w:rPr>
      </w:pPr>
      <w:r w:rsidRPr="004244EF">
        <w:rPr>
          <w:rFonts w:ascii="Arial" w:eastAsia="Arial" w:hAnsi="Arial" w:cs="Arial"/>
          <w:b/>
          <w:sz w:val="24"/>
          <w:szCs w:val="24"/>
        </w:rPr>
        <w:t xml:space="preserve">ACUERDA </w:t>
      </w:r>
    </w:p>
    <w:p w14:paraId="4BE0FC4F" w14:textId="77777777" w:rsidR="00982C54" w:rsidRPr="004244EF" w:rsidRDefault="00982C54">
      <w:pPr>
        <w:jc w:val="center"/>
        <w:rPr>
          <w:rFonts w:ascii="Arial" w:eastAsia="Arial" w:hAnsi="Arial" w:cs="Arial"/>
          <w:b/>
          <w:sz w:val="24"/>
          <w:szCs w:val="24"/>
        </w:rPr>
      </w:pPr>
    </w:p>
    <w:p w14:paraId="113C4AA1" w14:textId="6B95C2F2" w:rsidR="00982C54" w:rsidRPr="004244EF" w:rsidRDefault="00D01ADF">
      <w:pPr>
        <w:jc w:val="both"/>
        <w:rPr>
          <w:rFonts w:ascii="Arial" w:eastAsia="Arial" w:hAnsi="Arial" w:cs="Arial"/>
          <w:sz w:val="24"/>
          <w:szCs w:val="24"/>
        </w:rPr>
      </w:pPr>
      <w:r>
        <w:rPr>
          <w:rFonts w:ascii="Arial" w:eastAsia="Arial" w:hAnsi="Arial" w:cs="Arial"/>
          <w:b/>
          <w:sz w:val="24"/>
          <w:szCs w:val="24"/>
        </w:rPr>
        <w:t xml:space="preserve">ARTÍCULO 1. </w:t>
      </w:r>
      <w:r w:rsidR="002B3583" w:rsidRPr="004244EF">
        <w:rPr>
          <w:rFonts w:ascii="Arial" w:eastAsia="Arial" w:hAnsi="Arial" w:cs="Arial"/>
          <w:b/>
          <w:i/>
          <w:sz w:val="24"/>
          <w:szCs w:val="24"/>
        </w:rPr>
        <w:t xml:space="preserve">Objeto. </w:t>
      </w:r>
      <w:r w:rsidR="002B3583" w:rsidRPr="004244EF">
        <w:rPr>
          <w:rFonts w:ascii="Arial" w:eastAsia="Arial" w:hAnsi="Arial" w:cs="Arial"/>
          <w:sz w:val="24"/>
          <w:szCs w:val="24"/>
        </w:rPr>
        <w:t xml:space="preserve">Confórmese la red de Mercados de pulgas en los parques del Distrito Capital. </w:t>
      </w:r>
    </w:p>
    <w:p w14:paraId="5107B37E"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2. </w:t>
      </w:r>
      <w:r w:rsidRPr="004244EF">
        <w:rPr>
          <w:rFonts w:ascii="Arial" w:eastAsia="Arial" w:hAnsi="Arial" w:cs="Arial"/>
          <w:b/>
          <w:i/>
          <w:sz w:val="24"/>
          <w:szCs w:val="24"/>
        </w:rPr>
        <w:t xml:space="preserve">Funcionamiento. </w:t>
      </w:r>
      <w:r w:rsidRPr="004244EF">
        <w:rPr>
          <w:rFonts w:ascii="Arial" w:eastAsia="Arial" w:hAnsi="Arial" w:cs="Arial"/>
          <w:sz w:val="24"/>
          <w:szCs w:val="24"/>
        </w:rPr>
        <w:t xml:space="preserve">La Administración Distrital habilitará los fines de semana, incluyendo los días festivos para el funcionamiento de los mercados de pulgas en los parques de la ciudad.  </w:t>
      </w:r>
    </w:p>
    <w:p w14:paraId="2F7DBAAC"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3. </w:t>
      </w:r>
      <w:r w:rsidRPr="004244EF">
        <w:rPr>
          <w:rFonts w:ascii="Arial" w:eastAsia="Arial" w:hAnsi="Arial" w:cs="Arial"/>
          <w:b/>
          <w:i/>
          <w:sz w:val="24"/>
          <w:szCs w:val="24"/>
        </w:rPr>
        <w:t xml:space="preserve">Entidades Responsables. </w:t>
      </w:r>
      <w:r w:rsidRPr="004244EF">
        <w:rPr>
          <w:rFonts w:ascii="Arial" w:eastAsia="Arial" w:hAnsi="Arial" w:cs="Arial"/>
          <w:sz w:val="24"/>
          <w:szCs w:val="24"/>
        </w:rPr>
        <w:t>La iniciativa será liderada por el Instituto para la Economía Social IPES, en articulación con el Departamento Administrativo de la Defensoría del espacio público y el Instituto de Recreación y Deporte de Bogotá. Por su parte, la Secretaría Distrital de Desarrollo Económico dictará el alcance de esta iniciativa y vigilará las dinámicas que se desarrollen allí.</w:t>
      </w:r>
    </w:p>
    <w:p w14:paraId="056F206B"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b/>
          <w:i/>
          <w:sz w:val="24"/>
          <w:szCs w:val="24"/>
        </w:rPr>
        <w:t xml:space="preserve">Obligaciones. </w:t>
      </w:r>
      <w:r w:rsidRPr="004244EF">
        <w:rPr>
          <w:rFonts w:ascii="Arial" w:eastAsia="Arial" w:hAnsi="Arial" w:cs="Arial"/>
          <w:sz w:val="24"/>
          <w:szCs w:val="24"/>
        </w:rPr>
        <w:t xml:space="preserve">El Instituto para la Economía Social IPES, convocará a los residentes a participar en los Mercados a través de la promoción de campañas de divulgación de información y habilitará una plataforma para las inscripciones con el fin de garantizar un orden programado. </w:t>
      </w:r>
    </w:p>
    <w:p w14:paraId="133B6ABC" w14:textId="77777777" w:rsidR="00982C54" w:rsidRPr="004244EF" w:rsidRDefault="002B3583">
      <w:pPr>
        <w:jc w:val="both"/>
        <w:rPr>
          <w:rFonts w:ascii="Arial" w:eastAsia="Arial" w:hAnsi="Arial" w:cs="Arial"/>
          <w:sz w:val="24"/>
          <w:szCs w:val="24"/>
        </w:rPr>
      </w:pPr>
      <w:r w:rsidRPr="004244EF">
        <w:rPr>
          <w:rFonts w:ascii="Arial" w:eastAsia="Arial" w:hAnsi="Arial" w:cs="Arial"/>
          <w:b/>
          <w:sz w:val="24"/>
          <w:szCs w:val="24"/>
        </w:rPr>
        <w:t xml:space="preserve">ARTÍCULO 4. </w:t>
      </w:r>
      <w:r w:rsidRPr="004244EF">
        <w:rPr>
          <w:rFonts w:ascii="Arial" w:eastAsia="Arial" w:hAnsi="Arial" w:cs="Arial"/>
          <w:b/>
          <w:i/>
          <w:sz w:val="24"/>
          <w:szCs w:val="24"/>
        </w:rPr>
        <w:t xml:space="preserve">Vigencias. </w:t>
      </w:r>
      <w:r w:rsidRPr="004244EF">
        <w:rPr>
          <w:rFonts w:ascii="Arial" w:eastAsia="Arial" w:hAnsi="Arial" w:cs="Arial"/>
          <w:sz w:val="24"/>
          <w:szCs w:val="24"/>
        </w:rPr>
        <w:t xml:space="preserve">El presente Proyecto de Acuerdo rige a partir de le fecha de su aprobación. </w:t>
      </w:r>
    </w:p>
    <w:p w14:paraId="697A7B2C" w14:textId="77777777" w:rsidR="00982C54" w:rsidRPr="004244EF" w:rsidRDefault="00982C54">
      <w:pPr>
        <w:spacing w:after="0" w:line="240" w:lineRule="auto"/>
        <w:jc w:val="center"/>
        <w:rPr>
          <w:rFonts w:ascii="Arial" w:eastAsia="Arial" w:hAnsi="Arial" w:cs="Arial"/>
          <w:sz w:val="24"/>
          <w:szCs w:val="24"/>
        </w:rPr>
      </w:pPr>
      <w:bookmarkStart w:id="2" w:name="_heading=h.rws9w95gxcs" w:colFirst="0" w:colLast="0"/>
      <w:bookmarkEnd w:id="2"/>
    </w:p>
    <w:p w14:paraId="1AD42EC3" w14:textId="77777777" w:rsidR="004244EF" w:rsidRPr="004244EF" w:rsidRDefault="004244EF">
      <w:pPr>
        <w:spacing w:after="0" w:line="240" w:lineRule="auto"/>
        <w:jc w:val="center"/>
        <w:rPr>
          <w:rFonts w:ascii="Arial" w:eastAsia="Arial" w:hAnsi="Arial" w:cs="Arial"/>
          <w:sz w:val="24"/>
          <w:szCs w:val="24"/>
        </w:rPr>
      </w:pPr>
    </w:p>
    <w:p w14:paraId="5912B845" w14:textId="77777777" w:rsidR="004244EF" w:rsidRPr="004244EF" w:rsidRDefault="004244EF">
      <w:pPr>
        <w:spacing w:after="0" w:line="240" w:lineRule="auto"/>
        <w:jc w:val="center"/>
        <w:rPr>
          <w:rFonts w:ascii="Arial" w:eastAsia="Arial" w:hAnsi="Arial" w:cs="Arial"/>
          <w:sz w:val="24"/>
          <w:szCs w:val="24"/>
        </w:rPr>
      </w:pPr>
    </w:p>
    <w:p w14:paraId="3E340935" w14:textId="77777777" w:rsidR="004244EF" w:rsidRPr="004244EF" w:rsidRDefault="004244EF">
      <w:pPr>
        <w:spacing w:after="0" w:line="240" w:lineRule="auto"/>
        <w:jc w:val="center"/>
        <w:rPr>
          <w:rFonts w:ascii="Arial" w:eastAsia="Arial" w:hAnsi="Arial" w:cs="Arial"/>
          <w:sz w:val="24"/>
          <w:szCs w:val="24"/>
        </w:rPr>
      </w:pPr>
    </w:p>
    <w:p w14:paraId="6D51FD6F" w14:textId="77777777" w:rsidR="004244EF" w:rsidRPr="004244EF" w:rsidRDefault="004244EF">
      <w:pPr>
        <w:spacing w:after="0" w:line="240" w:lineRule="auto"/>
        <w:jc w:val="center"/>
        <w:rPr>
          <w:rFonts w:ascii="Arial" w:eastAsia="Arial" w:hAnsi="Arial" w:cs="Arial"/>
          <w:sz w:val="24"/>
          <w:szCs w:val="24"/>
        </w:rPr>
      </w:pPr>
    </w:p>
    <w:p w14:paraId="7D747A97" w14:textId="77777777" w:rsidR="004244EF" w:rsidRPr="004244EF" w:rsidRDefault="004244EF">
      <w:pPr>
        <w:spacing w:after="0" w:line="240" w:lineRule="auto"/>
        <w:jc w:val="center"/>
        <w:rPr>
          <w:rFonts w:ascii="Arial" w:eastAsia="Arial" w:hAnsi="Arial" w:cs="Arial"/>
          <w:sz w:val="24"/>
          <w:szCs w:val="24"/>
        </w:rPr>
      </w:pPr>
    </w:p>
    <w:p w14:paraId="788FE904" w14:textId="77777777" w:rsidR="004244EF" w:rsidRPr="004244EF" w:rsidRDefault="004244EF">
      <w:pPr>
        <w:spacing w:after="0" w:line="240" w:lineRule="auto"/>
        <w:jc w:val="center"/>
        <w:rPr>
          <w:rFonts w:ascii="Arial" w:eastAsia="Arial" w:hAnsi="Arial" w:cs="Arial"/>
          <w:sz w:val="24"/>
          <w:szCs w:val="24"/>
        </w:rPr>
      </w:pPr>
    </w:p>
    <w:p w14:paraId="43EB2987" w14:textId="77777777" w:rsidR="00982C54" w:rsidRPr="004244EF" w:rsidRDefault="002B3583">
      <w:pPr>
        <w:spacing w:after="0" w:line="240" w:lineRule="auto"/>
        <w:jc w:val="center"/>
        <w:rPr>
          <w:rFonts w:ascii="Arial" w:eastAsia="Arial" w:hAnsi="Arial" w:cs="Arial"/>
          <w:sz w:val="24"/>
          <w:szCs w:val="24"/>
        </w:rPr>
      </w:pPr>
      <w:r w:rsidRPr="004244EF">
        <w:rPr>
          <w:rFonts w:ascii="Arial" w:eastAsia="Arial" w:hAnsi="Arial" w:cs="Arial"/>
          <w:sz w:val="24"/>
          <w:szCs w:val="24"/>
        </w:rPr>
        <w:t>COMUNÍQUESE Y CÚMPLASE</w:t>
      </w:r>
    </w:p>
    <w:p w14:paraId="2FA4E940" w14:textId="77777777" w:rsidR="00982C54" w:rsidRPr="004244EF" w:rsidRDefault="00982C54">
      <w:pPr>
        <w:rPr>
          <w:rFonts w:ascii="Arial" w:hAnsi="Arial" w:cs="Arial"/>
          <w:sz w:val="24"/>
          <w:szCs w:val="24"/>
        </w:rPr>
      </w:pPr>
    </w:p>
    <w:p w14:paraId="6495017B" w14:textId="37E7B6E2" w:rsidR="00982C54" w:rsidRPr="004244EF" w:rsidRDefault="002B3583">
      <w:pPr>
        <w:spacing w:after="0" w:line="240" w:lineRule="auto"/>
        <w:jc w:val="center"/>
        <w:rPr>
          <w:rFonts w:ascii="Arial" w:eastAsia="Arial" w:hAnsi="Arial" w:cs="Arial"/>
          <w:sz w:val="24"/>
          <w:szCs w:val="24"/>
        </w:rPr>
      </w:pPr>
      <w:r w:rsidRPr="004244EF">
        <w:rPr>
          <w:rFonts w:ascii="Arial" w:eastAsia="Arial" w:hAnsi="Arial" w:cs="Arial"/>
          <w:sz w:val="24"/>
          <w:szCs w:val="24"/>
        </w:rPr>
        <w:t>Dado en Bogotá, D.C., a los ___ días del mes de ___ del año 202</w:t>
      </w:r>
      <w:r w:rsidR="000C4165">
        <w:rPr>
          <w:rFonts w:ascii="Arial" w:eastAsia="Arial" w:hAnsi="Arial" w:cs="Arial"/>
          <w:sz w:val="24"/>
          <w:szCs w:val="24"/>
        </w:rPr>
        <w:t>5</w:t>
      </w:r>
    </w:p>
    <w:p w14:paraId="4366C598" w14:textId="77777777" w:rsidR="00982C54" w:rsidRPr="004244EF" w:rsidRDefault="00982C54">
      <w:pPr>
        <w:spacing w:after="0" w:line="240" w:lineRule="auto"/>
        <w:jc w:val="center"/>
        <w:rPr>
          <w:rFonts w:ascii="Arial" w:eastAsia="Arial" w:hAnsi="Arial" w:cs="Arial"/>
          <w:sz w:val="24"/>
          <w:szCs w:val="24"/>
        </w:rPr>
      </w:pPr>
    </w:p>
    <w:p w14:paraId="58B72000" w14:textId="77777777" w:rsidR="00982C54" w:rsidRPr="004244EF" w:rsidRDefault="00982C54">
      <w:pPr>
        <w:spacing w:after="0" w:line="240" w:lineRule="auto"/>
        <w:jc w:val="center"/>
        <w:rPr>
          <w:rFonts w:ascii="Arial" w:eastAsia="Arial" w:hAnsi="Arial" w:cs="Arial"/>
          <w:sz w:val="24"/>
          <w:szCs w:val="24"/>
        </w:rPr>
      </w:pPr>
    </w:p>
    <w:p w14:paraId="04537A4B" w14:textId="77777777" w:rsidR="00982C54" w:rsidRPr="004244EF" w:rsidRDefault="00982C54">
      <w:pPr>
        <w:rPr>
          <w:rFonts w:ascii="Arial" w:hAnsi="Arial" w:cs="Arial"/>
          <w:sz w:val="24"/>
          <w:szCs w:val="24"/>
        </w:rPr>
      </w:pPr>
    </w:p>
    <w:p w14:paraId="11873E01" w14:textId="77777777" w:rsidR="00982C54" w:rsidRPr="004244EF" w:rsidRDefault="002B3583">
      <w:pPr>
        <w:spacing w:after="10" w:line="240" w:lineRule="auto"/>
        <w:ind w:right="17" w:hanging="10"/>
        <w:jc w:val="center"/>
        <w:rPr>
          <w:rFonts w:ascii="Arial" w:eastAsia="Arial" w:hAnsi="Arial" w:cs="Arial"/>
          <w:sz w:val="24"/>
          <w:szCs w:val="24"/>
        </w:rPr>
      </w:pPr>
      <w:r w:rsidRPr="004244EF">
        <w:rPr>
          <w:rFonts w:ascii="Arial" w:eastAsia="Arial" w:hAnsi="Arial" w:cs="Arial"/>
          <w:b/>
          <w:sz w:val="24"/>
          <w:szCs w:val="24"/>
        </w:rPr>
        <w:t>Presidente del Concejo                                                          Secretaría General </w:t>
      </w:r>
    </w:p>
    <w:p w14:paraId="0C626D08" w14:textId="77777777" w:rsidR="00982C54" w:rsidRPr="004244EF" w:rsidRDefault="00982C54">
      <w:pPr>
        <w:spacing w:after="23" w:line="240" w:lineRule="auto"/>
        <w:rPr>
          <w:rFonts w:ascii="Arial" w:eastAsia="Arial" w:hAnsi="Arial" w:cs="Arial"/>
          <w:b/>
          <w:sz w:val="24"/>
          <w:szCs w:val="24"/>
        </w:rPr>
      </w:pPr>
    </w:p>
    <w:p w14:paraId="36FD7604" w14:textId="77777777" w:rsidR="00982C54" w:rsidRPr="004244EF" w:rsidRDefault="00982C54">
      <w:pPr>
        <w:spacing w:after="23" w:line="240" w:lineRule="auto"/>
        <w:rPr>
          <w:rFonts w:ascii="Arial" w:eastAsia="Arial" w:hAnsi="Arial" w:cs="Arial"/>
          <w:b/>
          <w:sz w:val="24"/>
          <w:szCs w:val="24"/>
        </w:rPr>
      </w:pPr>
    </w:p>
    <w:p w14:paraId="34A55471" w14:textId="77777777" w:rsidR="00982C54" w:rsidRPr="004244EF" w:rsidRDefault="002B3583">
      <w:pPr>
        <w:spacing w:after="23" w:line="240" w:lineRule="auto"/>
        <w:rPr>
          <w:rFonts w:ascii="Arial" w:eastAsia="Arial" w:hAnsi="Arial" w:cs="Arial"/>
          <w:sz w:val="24"/>
          <w:szCs w:val="24"/>
        </w:rPr>
      </w:pPr>
      <w:r w:rsidRPr="004244EF">
        <w:rPr>
          <w:rFonts w:ascii="Arial" w:eastAsia="Arial" w:hAnsi="Arial" w:cs="Arial"/>
          <w:b/>
          <w:sz w:val="24"/>
          <w:szCs w:val="24"/>
        </w:rPr>
        <w:t> </w:t>
      </w:r>
    </w:p>
    <w:p w14:paraId="45A5367C" w14:textId="77777777" w:rsidR="00982C54" w:rsidRPr="004244EF" w:rsidRDefault="002B3583">
      <w:pPr>
        <w:spacing w:after="10" w:line="240" w:lineRule="auto"/>
        <w:ind w:right="5" w:hanging="10"/>
        <w:jc w:val="center"/>
        <w:rPr>
          <w:rFonts w:ascii="Arial" w:eastAsia="Arial" w:hAnsi="Arial" w:cs="Arial"/>
          <w:b/>
          <w:sz w:val="24"/>
          <w:szCs w:val="24"/>
        </w:rPr>
      </w:pPr>
      <w:r w:rsidRPr="004244EF">
        <w:rPr>
          <w:rFonts w:ascii="Arial" w:eastAsia="Arial" w:hAnsi="Arial" w:cs="Arial"/>
          <w:b/>
          <w:sz w:val="24"/>
          <w:szCs w:val="24"/>
        </w:rPr>
        <w:t>Alcalde Mayor </w:t>
      </w:r>
    </w:p>
    <w:p w14:paraId="6E281F2A" w14:textId="77777777" w:rsidR="00982C54" w:rsidRPr="004244EF" w:rsidRDefault="00982C54">
      <w:pPr>
        <w:spacing w:after="0" w:line="240" w:lineRule="auto"/>
        <w:jc w:val="both"/>
        <w:rPr>
          <w:rFonts w:ascii="Arial" w:eastAsia="Arial" w:hAnsi="Arial" w:cs="Arial"/>
          <w:sz w:val="24"/>
          <w:szCs w:val="24"/>
        </w:rPr>
      </w:pPr>
      <w:bookmarkStart w:id="3" w:name="_heading=h.gjgab59ump7s" w:colFirst="0" w:colLast="0"/>
      <w:bookmarkEnd w:id="3"/>
    </w:p>
    <w:p w14:paraId="14409296" w14:textId="77777777" w:rsidR="00982C54" w:rsidRPr="004244EF" w:rsidRDefault="00982C54">
      <w:pPr>
        <w:jc w:val="both"/>
        <w:rPr>
          <w:rFonts w:ascii="Arial" w:eastAsia="Arial" w:hAnsi="Arial" w:cs="Arial"/>
          <w:sz w:val="24"/>
          <w:szCs w:val="24"/>
        </w:rPr>
      </w:pPr>
    </w:p>
    <w:p w14:paraId="0C442F94" w14:textId="77777777" w:rsidR="00982C54" w:rsidRPr="004244EF" w:rsidRDefault="00982C54">
      <w:pPr>
        <w:jc w:val="both"/>
        <w:rPr>
          <w:rFonts w:ascii="Arial" w:eastAsia="Arial" w:hAnsi="Arial" w:cs="Arial"/>
          <w:sz w:val="24"/>
          <w:szCs w:val="24"/>
        </w:rPr>
      </w:pPr>
    </w:p>
    <w:p w14:paraId="2EE20540" w14:textId="77777777" w:rsidR="00982C54" w:rsidRDefault="00982C54">
      <w:pPr>
        <w:jc w:val="both"/>
        <w:rPr>
          <w:rFonts w:ascii="Arial" w:eastAsia="Arial" w:hAnsi="Arial" w:cs="Arial"/>
          <w:sz w:val="24"/>
          <w:szCs w:val="24"/>
        </w:rPr>
      </w:pPr>
    </w:p>
    <w:p w14:paraId="2FF042D7" w14:textId="77777777" w:rsidR="00982C54" w:rsidRDefault="00982C54">
      <w:pPr>
        <w:jc w:val="both"/>
        <w:rPr>
          <w:rFonts w:ascii="Arial" w:eastAsia="Arial" w:hAnsi="Arial" w:cs="Arial"/>
          <w:sz w:val="24"/>
          <w:szCs w:val="24"/>
        </w:rPr>
      </w:pPr>
    </w:p>
    <w:p w14:paraId="2F40FCBC" w14:textId="77777777" w:rsidR="00982C54" w:rsidRDefault="00982C54">
      <w:pPr>
        <w:jc w:val="both"/>
        <w:rPr>
          <w:rFonts w:ascii="Arial" w:eastAsia="Arial" w:hAnsi="Arial" w:cs="Arial"/>
          <w:sz w:val="24"/>
          <w:szCs w:val="24"/>
        </w:rPr>
      </w:pPr>
    </w:p>
    <w:p w14:paraId="6B2C8ED6" w14:textId="77777777" w:rsidR="00982C54" w:rsidRDefault="00982C54">
      <w:pPr>
        <w:jc w:val="both"/>
        <w:rPr>
          <w:rFonts w:ascii="Arial" w:eastAsia="Arial" w:hAnsi="Arial" w:cs="Arial"/>
          <w:sz w:val="24"/>
          <w:szCs w:val="24"/>
        </w:rPr>
      </w:pPr>
    </w:p>
    <w:p w14:paraId="2770A014" w14:textId="77777777" w:rsidR="00982C54" w:rsidRDefault="00982C54">
      <w:pPr>
        <w:jc w:val="both"/>
        <w:rPr>
          <w:rFonts w:ascii="Arial" w:eastAsia="Arial" w:hAnsi="Arial" w:cs="Arial"/>
          <w:sz w:val="24"/>
          <w:szCs w:val="24"/>
        </w:rPr>
      </w:pPr>
    </w:p>
    <w:p w14:paraId="26B9EE51" w14:textId="77777777" w:rsidR="00982C54" w:rsidRDefault="00982C54">
      <w:pPr>
        <w:jc w:val="both"/>
        <w:rPr>
          <w:rFonts w:ascii="Arial" w:eastAsia="Arial" w:hAnsi="Arial" w:cs="Arial"/>
          <w:sz w:val="24"/>
          <w:szCs w:val="24"/>
        </w:rPr>
      </w:pPr>
    </w:p>
    <w:p w14:paraId="45F8651A" w14:textId="77777777" w:rsidR="00982C54" w:rsidRDefault="00982C54">
      <w:pPr>
        <w:jc w:val="both"/>
        <w:rPr>
          <w:rFonts w:ascii="Arial" w:eastAsia="Arial" w:hAnsi="Arial" w:cs="Arial"/>
          <w:sz w:val="24"/>
          <w:szCs w:val="24"/>
        </w:rPr>
      </w:pPr>
    </w:p>
    <w:p w14:paraId="654B81D1" w14:textId="77777777" w:rsidR="00982C54" w:rsidRDefault="00982C54">
      <w:pPr>
        <w:jc w:val="both"/>
        <w:rPr>
          <w:rFonts w:ascii="Arial" w:eastAsia="Arial" w:hAnsi="Arial" w:cs="Arial"/>
          <w:sz w:val="24"/>
          <w:szCs w:val="24"/>
        </w:rPr>
      </w:pPr>
    </w:p>
    <w:p w14:paraId="1CC013EE" w14:textId="77777777" w:rsidR="00982C54" w:rsidRDefault="00982C54">
      <w:pPr>
        <w:jc w:val="both"/>
        <w:rPr>
          <w:rFonts w:ascii="Arial" w:eastAsia="Arial" w:hAnsi="Arial" w:cs="Arial"/>
          <w:sz w:val="24"/>
          <w:szCs w:val="24"/>
        </w:rPr>
      </w:pPr>
    </w:p>
    <w:p w14:paraId="0FC9659C" w14:textId="77777777" w:rsidR="00982C54" w:rsidRDefault="00982C54">
      <w:pPr>
        <w:jc w:val="both"/>
        <w:rPr>
          <w:rFonts w:ascii="Arial" w:eastAsia="Arial" w:hAnsi="Arial" w:cs="Arial"/>
          <w:sz w:val="24"/>
          <w:szCs w:val="24"/>
        </w:rPr>
      </w:pPr>
    </w:p>
    <w:p w14:paraId="3C4BC479" w14:textId="77777777" w:rsidR="00982C54" w:rsidRDefault="00982C54">
      <w:pPr>
        <w:jc w:val="both"/>
        <w:rPr>
          <w:rFonts w:ascii="Arial" w:eastAsia="Arial" w:hAnsi="Arial" w:cs="Arial"/>
          <w:sz w:val="24"/>
          <w:szCs w:val="24"/>
        </w:rPr>
      </w:pPr>
    </w:p>
    <w:p w14:paraId="41BD35A4" w14:textId="77777777" w:rsidR="00982C54" w:rsidRDefault="00982C54">
      <w:pPr>
        <w:jc w:val="both"/>
        <w:rPr>
          <w:rFonts w:ascii="Arial" w:eastAsia="Arial" w:hAnsi="Arial" w:cs="Arial"/>
          <w:sz w:val="24"/>
          <w:szCs w:val="24"/>
        </w:rPr>
      </w:pPr>
    </w:p>
    <w:p w14:paraId="12BFACB2" w14:textId="77777777" w:rsidR="00982C54" w:rsidRDefault="00982C54">
      <w:pPr>
        <w:jc w:val="both"/>
        <w:rPr>
          <w:rFonts w:ascii="Arial" w:eastAsia="Arial" w:hAnsi="Arial" w:cs="Arial"/>
          <w:sz w:val="24"/>
          <w:szCs w:val="24"/>
        </w:rPr>
      </w:pPr>
    </w:p>
    <w:p w14:paraId="5E50F384" w14:textId="77777777" w:rsidR="00982C54" w:rsidRDefault="00982C54">
      <w:pPr>
        <w:jc w:val="both"/>
        <w:rPr>
          <w:rFonts w:ascii="Arial" w:eastAsia="Arial" w:hAnsi="Arial" w:cs="Arial"/>
          <w:sz w:val="24"/>
          <w:szCs w:val="24"/>
        </w:rPr>
      </w:pPr>
    </w:p>
    <w:p w14:paraId="629AFA66" w14:textId="77777777" w:rsidR="00982C54" w:rsidRDefault="00982C54">
      <w:pPr>
        <w:jc w:val="both"/>
        <w:rPr>
          <w:rFonts w:ascii="Arial" w:eastAsia="Arial" w:hAnsi="Arial" w:cs="Arial"/>
          <w:sz w:val="24"/>
          <w:szCs w:val="24"/>
        </w:rPr>
      </w:pPr>
    </w:p>
    <w:p w14:paraId="6E850706" w14:textId="77777777" w:rsidR="00982C54" w:rsidRPr="004244EF" w:rsidRDefault="002B3583">
      <w:pPr>
        <w:pStyle w:val="Ttulo1"/>
        <w:jc w:val="both"/>
        <w:rPr>
          <w:rFonts w:ascii="Arial" w:eastAsia="Arial" w:hAnsi="Arial" w:cs="Arial"/>
          <w:b/>
          <w:color w:val="000000"/>
          <w:sz w:val="24"/>
          <w:szCs w:val="24"/>
        </w:rPr>
      </w:pPr>
      <w:r w:rsidRPr="004244EF">
        <w:rPr>
          <w:rFonts w:ascii="Arial" w:eastAsia="Arial" w:hAnsi="Arial" w:cs="Arial"/>
          <w:b/>
          <w:color w:val="000000"/>
          <w:sz w:val="24"/>
          <w:szCs w:val="24"/>
        </w:rPr>
        <w:t>Referencias</w:t>
      </w:r>
    </w:p>
    <w:p w14:paraId="006B6792" w14:textId="77777777" w:rsidR="00982C54" w:rsidRPr="004244EF" w:rsidRDefault="00982C54">
      <w:pPr>
        <w:rPr>
          <w:rFonts w:ascii="Arial" w:hAnsi="Arial" w:cs="Arial"/>
          <w:sz w:val="24"/>
          <w:szCs w:val="24"/>
        </w:rPr>
      </w:pPr>
    </w:p>
    <w:p w14:paraId="3370FF37"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Acciona. (2016). </w:t>
      </w:r>
      <w:r w:rsidRPr="004244EF">
        <w:rPr>
          <w:rFonts w:ascii="Arial" w:eastAsia="Arial" w:hAnsi="Arial" w:cs="Arial"/>
          <w:i/>
          <w:color w:val="000000"/>
          <w:sz w:val="24"/>
          <w:szCs w:val="24"/>
        </w:rPr>
        <w:t>Sostenibilidad para todos</w:t>
      </w:r>
      <w:r w:rsidRPr="004244EF">
        <w:rPr>
          <w:rFonts w:ascii="Arial" w:eastAsia="Arial" w:hAnsi="Arial" w:cs="Arial"/>
          <w:color w:val="000000"/>
          <w:sz w:val="24"/>
          <w:szCs w:val="24"/>
        </w:rPr>
        <w:t xml:space="preserve">. Obtenido de ¿Qué son los </w:t>
      </w:r>
      <w:proofErr w:type="spellStart"/>
      <w:r w:rsidRPr="004244EF">
        <w:rPr>
          <w:rFonts w:ascii="Arial" w:eastAsia="Arial" w:hAnsi="Arial" w:cs="Arial"/>
          <w:color w:val="000000"/>
          <w:sz w:val="24"/>
          <w:szCs w:val="24"/>
        </w:rPr>
        <w:t>Flea</w:t>
      </w:r>
      <w:proofErr w:type="spellEnd"/>
      <w:r w:rsidRPr="004244EF">
        <w:rPr>
          <w:rFonts w:ascii="Arial" w:eastAsia="Arial" w:hAnsi="Arial" w:cs="Arial"/>
          <w:color w:val="000000"/>
          <w:sz w:val="24"/>
          <w:szCs w:val="24"/>
        </w:rPr>
        <w:t xml:space="preserve"> </w:t>
      </w:r>
      <w:proofErr w:type="spellStart"/>
      <w:r w:rsidRPr="004244EF">
        <w:rPr>
          <w:rFonts w:ascii="Arial" w:eastAsia="Arial" w:hAnsi="Arial" w:cs="Arial"/>
          <w:color w:val="000000"/>
          <w:sz w:val="24"/>
          <w:szCs w:val="24"/>
        </w:rPr>
        <w:t>Markets</w:t>
      </w:r>
      <w:proofErr w:type="spellEnd"/>
      <w:r w:rsidRPr="004244EF">
        <w:rPr>
          <w:rFonts w:ascii="Arial" w:eastAsia="Arial" w:hAnsi="Arial" w:cs="Arial"/>
          <w:color w:val="000000"/>
          <w:sz w:val="24"/>
          <w:szCs w:val="24"/>
        </w:rPr>
        <w:t>?: https://www.sostenibilidad.com/vida-sostenible/que-son-los-flea-markets/</w:t>
      </w:r>
    </w:p>
    <w:p w14:paraId="10FBBD26"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Agredo, A. K. (2018). </w:t>
      </w:r>
      <w:r w:rsidRPr="004244EF">
        <w:rPr>
          <w:rFonts w:ascii="Arial" w:eastAsia="Arial" w:hAnsi="Arial" w:cs="Arial"/>
          <w:i/>
          <w:color w:val="000000"/>
          <w:sz w:val="24"/>
          <w:szCs w:val="24"/>
        </w:rPr>
        <w:t xml:space="preserve">Identidad social en la configuración de economías solidarias de los comerciantes y </w:t>
      </w:r>
      <w:proofErr w:type="spellStart"/>
      <w:r w:rsidRPr="004244EF">
        <w:rPr>
          <w:rFonts w:ascii="Arial" w:eastAsia="Arial" w:hAnsi="Arial" w:cs="Arial"/>
          <w:i/>
          <w:color w:val="000000"/>
          <w:sz w:val="24"/>
          <w:szCs w:val="24"/>
        </w:rPr>
        <w:t>artesandos</w:t>
      </w:r>
      <w:proofErr w:type="spellEnd"/>
      <w:r w:rsidRPr="004244EF">
        <w:rPr>
          <w:rFonts w:ascii="Arial" w:eastAsia="Arial" w:hAnsi="Arial" w:cs="Arial"/>
          <w:i/>
          <w:color w:val="000000"/>
          <w:sz w:val="24"/>
          <w:szCs w:val="24"/>
        </w:rPr>
        <w:t xml:space="preserve"> del mercado de pulgas de Usaquén.</w:t>
      </w:r>
      <w:r w:rsidRPr="004244EF">
        <w:rPr>
          <w:rFonts w:ascii="Arial" w:eastAsia="Arial" w:hAnsi="Arial" w:cs="Arial"/>
          <w:color w:val="000000"/>
          <w:sz w:val="24"/>
          <w:szCs w:val="24"/>
        </w:rPr>
        <w:t xml:space="preserve"> Bogotá: Universidad del Externado.</w:t>
      </w:r>
    </w:p>
    <w:p w14:paraId="24940375"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Empleo informal y seguridad social, D. (2021). </w:t>
      </w:r>
      <w:r w:rsidRPr="004244EF">
        <w:rPr>
          <w:rFonts w:ascii="Arial" w:eastAsia="Arial" w:hAnsi="Arial" w:cs="Arial"/>
          <w:i/>
          <w:color w:val="000000"/>
          <w:sz w:val="24"/>
          <w:szCs w:val="24"/>
        </w:rPr>
        <w:t xml:space="preserve">Gran Encuesta Integrada de </w:t>
      </w:r>
      <w:proofErr w:type="gramStart"/>
      <w:r w:rsidRPr="004244EF">
        <w:rPr>
          <w:rFonts w:ascii="Arial" w:eastAsia="Arial" w:hAnsi="Arial" w:cs="Arial"/>
          <w:i/>
          <w:color w:val="000000"/>
          <w:sz w:val="24"/>
          <w:szCs w:val="24"/>
        </w:rPr>
        <w:t>Hogares .</w:t>
      </w:r>
      <w:proofErr w:type="gramEnd"/>
      <w:r w:rsidRPr="004244EF">
        <w:rPr>
          <w:rFonts w:ascii="Arial" w:eastAsia="Arial" w:hAnsi="Arial" w:cs="Arial"/>
          <w:color w:val="000000"/>
          <w:sz w:val="24"/>
          <w:szCs w:val="24"/>
        </w:rPr>
        <w:t xml:space="preserve"> Bogotá: DANE.</w:t>
      </w:r>
    </w:p>
    <w:p w14:paraId="5D555484"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proofErr w:type="spellStart"/>
      <w:r w:rsidRPr="004244EF">
        <w:rPr>
          <w:rFonts w:ascii="Arial" w:eastAsia="Arial" w:hAnsi="Arial" w:cs="Arial"/>
          <w:color w:val="000000"/>
          <w:sz w:val="24"/>
          <w:szCs w:val="24"/>
        </w:rPr>
        <w:t>Lando</w:t>
      </w:r>
      <w:proofErr w:type="spellEnd"/>
      <w:r w:rsidRPr="004244EF">
        <w:rPr>
          <w:rFonts w:ascii="Arial" w:eastAsia="Arial" w:hAnsi="Arial" w:cs="Arial"/>
          <w:color w:val="000000"/>
          <w:sz w:val="24"/>
          <w:szCs w:val="24"/>
        </w:rPr>
        <w:t xml:space="preserve">, M. (2021). </w:t>
      </w:r>
      <w:r w:rsidRPr="004244EF">
        <w:rPr>
          <w:rFonts w:ascii="Arial" w:eastAsia="Arial" w:hAnsi="Arial" w:cs="Arial"/>
          <w:i/>
          <w:color w:val="000000"/>
          <w:sz w:val="24"/>
          <w:szCs w:val="24"/>
        </w:rPr>
        <w:t>Mercado de pulgas en Bogotá: 3 que no te puedes perder</w:t>
      </w:r>
      <w:r w:rsidRPr="004244EF">
        <w:rPr>
          <w:rFonts w:ascii="Arial" w:eastAsia="Arial" w:hAnsi="Arial" w:cs="Arial"/>
          <w:color w:val="000000"/>
          <w:sz w:val="24"/>
          <w:szCs w:val="24"/>
        </w:rPr>
        <w:t>. Obtenido de https://blog.redbus.co/turismo-y-aventura/3-mercado-de-pulgas-bogota/</w:t>
      </w:r>
    </w:p>
    <w:p w14:paraId="2D982635"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Mercado Laboral, DANE. (2021). </w:t>
      </w:r>
      <w:r w:rsidRPr="004244EF">
        <w:rPr>
          <w:rFonts w:ascii="Arial" w:eastAsia="Arial" w:hAnsi="Arial" w:cs="Arial"/>
          <w:i/>
          <w:color w:val="000000"/>
          <w:sz w:val="24"/>
          <w:szCs w:val="24"/>
        </w:rPr>
        <w:t>Boletín Técnico Gran Encuesta Integrada de Hogares.</w:t>
      </w:r>
      <w:r w:rsidRPr="004244EF">
        <w:rPr>
          <w:rFonts w:ascii="Arial" w:eastAsia="Arial" w:hAnsi="Arial" w:cs="Arial"/>
          <w:color w:val="000000"/>
          <w:sz w:val="24"/>
          <w:szCs w:val="24"/>
        </w:rPr>
        <w:t xml:space="preserve"> Bogotá: DANE.</w:t>
      </w:r>
    </w:p>
    <w:p w14:paraId="40FE7DBF" w14:textId="77777777" w:rsidR="00982C54" w:rsidRPr="004244EF" w:rsidRDefault="002B3583">
      <w:pPr>
        <w:pBdr>
          <w:top w:val="nil"/>
          <w:left w:val="nil"/>
          <w:bottom w:val="nil"/>
          <w:right w:val="nil"/>
          <w:between w:val="nil"/>
        </w:pBdr>
        <w:ind w:left="720" w:hanging="720"/>
        <w:jc w:val="both"/>
        <w:rPr>
          <w:rFonts w:ascii="Arial" w:eastAsia="Arial" w:hAnsi="Arial" w:cs="Arial"/>
          <w:color w:val="000000"/>
          <w:sz w:val="24"/>
          <w:szCs w:val="24"/>
        </w:rPr>
      </w:pPr>
      <w:r w:rsidRPr="004244EF">
        <w:rPr>
          <w:rFonts w:ascii="Arial" w:eastAsia="Arial" w:hAnsi="Arial" w:cs="Arial"/>
          <w:color w:val="000000"/>
          <w:sz w:val="24"/>
          <w:szCs w:val="24"/>
        </w:rPr>
        <w:t xml:space="preserve">Ojeda, D. (25 de </w:t>
      </w:r>
      <w:proofErr w:type="gramStart"/>
      <w:r w:rsidRPr="004244EF">
        <w:rPr>
          <w:rFonts w:ascii="Arial" w:eastAsia="Arial" w:hAnsi="Arial" w:cs="Arial"/>
          <w:color w:val="000000"/>
          <w:sz w:val="24"/>
          <w:szCs w:val="24"/>
        </w:rPr>
        <w:t>Octubre</w:t>
      </w:r>
      <w:proofErr w:type="gramEnd"/>
      <w:r w:rsidRPr="004244EF">
        <w:rPr>
          <w:rFonts w:ascii="Arial" w:eastAsia="Arial" w:hAnsi="Arial" w:cs="Arial"/>
          <w:color w:val="000000"/>
          <w:sz w:val="24"/>
          <w:szCs w:val="24"/>
        </w:rPr>
        <w:t xml:space="preserve"> de 2020). </w:t>
      </w:r>
      <w:r w:rsidRPr="004244EF">
        <w:rPr>
          <w:rFonts w:ascii="Arial" w:eastAsia="Arial" w:hAnsi="Arial" w:cs="Arial"/>
          <w:i/>
          <w:color w:val="000000"/>
          <w:sz w:val="24"/>
          <w:szCs w:val="24"/>
        </w:rPr>
        <w:t xml:space="preserve">EL </w:t>
      </w:r>
      <w:proofErr w:type="gramStart"/>
      <w:r w:rsidRPr="004244EF">
        <w:rPr>
          <w:rFonts w:ascii="Arial" w:eastAsia="Arial" w:hAnsi="Arial" w:cs="Arial"/>
          <w:i/>
          <w:color w:val="000000"/>
          <w:sz w:val="24"/>
          <w:szCs w:val="24"/>
        </w:rPr>
        <w:t>ESPECTADOR .</w:t>
      </w:r>
      <w:proofErr w:type="gramEnd"/>
      <w:r w:rsidRPr="004244EF">
        <w:rPr>
          <w:rFonts w:ascii="Arial" w:eastAsia="Arial" w:hAnsi="Arial" w:cs="Arial"/>
          <w:color w:val="000000"/>
          <w:sz w:val="24"/>
          <w:szCs w:val="24"/>
        </w:rPr>
        <w:t xml:space="preserve"> Obtenido de ¿Qué es y por qué quieren hacer de Bogotá una "Ciudad de 15 minutos"?: https://www.elespectador.com/bogota/que-es-y-por-que-quieren-hacer-de-bogota-una-ciudad-de-15-minutos-article/</w:t>
      </w:r>
    </w:p>
    <w:p w14:paraId="7E2ACE97" w14:textId="77777777" w:rsidR="00982C54" w:rsidRPr="004244EF" w:rsidRDefault="00982C54">
      <w:pPr>
        <w:jc w:val="both"/>
        <w:rPr>
          <w:rFonts w:ascii="Arial" w:eastAsia="Arial" w:hAnsi="Arial" w:cs="Arial"/>
          <w:color w:val="000000"/>
          <w:sz w:val="24"/>
          <w:szCs w:val="24"/>
        </w:rPr>
      </w:pPr>
    </w:p>
    <w:p w14:paraId="4B447EA0" w14:textId="77777777" w:rsidR="00982C54" w:rsidRDefault="00982C54">
      <w:pPr>
        <w:rPr>
          <w:rFonts w:ascii="Times New Roman" w:eastAsia="Times New Roman" w:hAnsi="Times New Roman" w:cs="Times New Roman"/>
          <w:sz w:val="24"/>
          <w:szCs w:val="24"/>
        </w:rPr>
      </w:pPr>
    </w:p>
    <w:p w14:paraId="1DBA9F10" w14:textId="77777777" w:rsidR="00982C54" w:rsidRDefault="00982C54">
      <w:pPr>
        <w:jc w:val="both"/>
        <w:rPr>
          <w:rFonts w:ascii="Arial" w:eastAsia="Arial" w:hAnsi="Arial" w:cs="Arial"/>
          <w:sz w:val="24"/>
          <w:szCs w:val="24"/>
        </w:rPr>
      </w:pPr>
    </w:p>
    <w:sectPr w:rsidR="00982C54">
      <w:headerReference w:type="default" r:id="rId7"/>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BD883" w14:textId="77777777" w:rsidR="00296035" w:rsidRDefault="00296035">
      <w:pPr>
        <w:spacing w:after="0" w:line="240" w:lineRule="auto"/>
      </w:pPr>
      <w:r>
        <w:separator/>
      </w:r>
    </w:p>
  </w:endnote>
  <w:endnote w:type="continuationSeparator" w:id="0">
    <w:p w14:paraId="665A20B3" w14:textId="77777777" w:rsidR="00296035" w:rsidRDefault="00296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29811" w14:textId="77777777" w:rsidR="00296035" w:rsidRDefault="00296035">
      <w:pPr>
        <w:spacing w:after="0" w:line="240" w:lineRule="auto"/>
      </w:pPr>
      <w:r>
        <w:separator/>
      </w:r>
    </w:p>
  </w:footnote>
  <w:footnote w:type="continuationSeparator" w:id="0">
    <w:p w14:paraId="07334B62" w14:textId="77777777" w:rsidR="00296035" w:rsidRDefault="002960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57A9D" w14:textId="77777777" w:rsidR="00982C54" w:rsidRDefault="00982C54">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7978F9" w:rsidRPr="00F340A5" w14:paraId="72D8CD4A" w14:textId="77777777" w:rsidTr="00380521">
      <w:trPr>
        <w:trHeight w:val="454"/>
      </w:trPr>
      <w:tc>
        <w:tcPr>
          <w:tcW w:w="1337" w:type="pct"/>
          <w:vMerge w:val="restart"/>
          <w:tcBorders>
            <w:top w:val="single" w:sz="4" w:space="0" w:color="auto"/>
            <w:left w:val="single" w:sz="4" w:space="0" w:color="auto"/>
            <w:right w:val="single" w:sz="4" w:space="0" w:color="auto"/>
          </w:tcBorders>
          <w:vAlign w:val="center"/>
        </w:tcPr>
        <w:p w14:paraId="139D8AB7" w14:textId="77777777" w:rsidR="007978F9" w:rsidRPr="00F340A5" w:rsidRDefault="007978F9" w:rsidP="007978F9">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06E0E6A4" wp14:editId="7CFCCA7C">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1DDF525E" w14:textId="77777777" w:rsidR="007978F9" w:rsidRPr="00F340A5" w:rsidRDefault="007978F9" w:rsidP="007978F9">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B67A95B"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7978F9" w:rsidRPr="00F340A5" w14:paraId="35876BE4" w14:textId="77777777" w:rsidTr="00380521">
      <w:trPr>
        <w:trHeight w:val="454"/>
      </w:trPr>
      <w:tc>
        <w:tcPr>
          <w:tcW w:w="1337" w:type="pct"/>
          <w:vMerge/>
          <w:tcBorders>
            <w:left w:val="single" w:sz="4" w:space="0" w:color="auto"/>
            <w:right w:val="single" w:sz="4" w:space="0" w:color="auto"/>
          </w:tcBorders>
          <w:vAlign w:val="center"/>
        </w:tcPr>
        <w:p w14:paraId="024889CC"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33DAF89A" w14:textId="77777777" w:rsidR="007978F9" w:rsidRPr="00F340A5" w:rsidRDefault="007978F9" w:rsidP="007978F9">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72800D34"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7978F9" w:rsidRPr="00F340A5" w14:paraId="4C2D121B" w14:textId="77777777" w:rsidTr="00380521">
      <w:trPr>
        <w:trHeight w:val="454"/>
      </w:trPr>
      <w:tc>
        <w:tcPr>
          <w:tcW w:w="1337" w:type="pct"/>
          <w:vMerge/>
          <w:tcBorders>
            <w:left w:val="single" w:sz="4" w:space="0" w:color="auto"/>
            <w:bottom w:val="single" w:sz="4" w:space="0" w:color="auto"/>
            <w:right w:val="single" w:sz="4" w:space="0" w:color="auto"/>
          </w:tcBorders>
          <w:vAlign w:val="center"/>
        </w:tcPr>
        <w:p w14:paraId="2742E82A"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4CD16108" w14:textId="77777777" w:rsidR="007978F9" w:rsidRPr="00F340A5" w:rsidRDefault="007978F9" w:rsidP="007978F9">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17845E94" w14:textId="77777777" w:rsidR="007978F9" w:rsidRPr="00F340A5" w:rsidRDefault="007978F9" w:rsidP="007978F9">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781C7471" w14:textId="77777777" w:rsidR="00982C54" w:rsidRDefault="00982C54">
    <w:pPr>
      <w:pBdr>
        <w:top w:val="nil"/>
        <w:left w:val="nil"/>
        <w:bottom w:val="nil"/>
        <w:right w:val="nil"/>
        <w:between w:val="nil"/>
      </w:pBdr>
      <w:tabs>
        <w:tab w:val="center" w:pos="4419"/>
        <w:tab w:val="right" w:pos="88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C54"/>
    <w:rsid w:val="000C4165"/>
    <w:rsid w:val="002774B2"/>
    <w:rsid w:val="00296035"/>
    <w:rsid w:val="002B3583"/>
    <w:rsid w:val="00317EA5"/>
    <w:rsid w:val="00384600"/>
    <w:rsid w:val="004244EF"/>
    <w:rsid w:val="00563DBD"/>
    <w:rsid w:val="005976DD"/>
    <w:rsid w:val="00620026"/>
    <w:rsid w:val="006F5C37"/>
    <w:rsid w:val="00761D72"/>
    <w:rsid w:val="00775120"/>
    <w:rsid w:val="007978F9"/>
    <w:rsid w:val="008700E5"/>
    <w:rsid w:val="00895C22"/>
    <w:rsid w:val="009011CA"/>
    <w:rsid w:val="00982C54"/>
    <w:rsid w:val="00997A6B"/>
    <w:rsid w:val="00A66C65"/>
    <w:rsid w:val="00AD6FDB"/>
    <w:rsid w:val="00AD71F3"/>
    <w:rsid w:val="00B11ECA"/>
    <w:rsid w:val="00B54315"/>
    <w:rsid w:val="00B97BAB"/>
    <w:rsid w:val="00BE0688"/>
    <w:rsid w:val="00D01ADF"/>
    <w:rsid w:val="00D4597A"/>
    <w:rsid w:val="00D6504D"/>
    <w:rsid w:val="00EB6D6B"/>
    <w:rsid w:val="00F30DA9"/>
    <w:rsid w:val="00F44D59"/>
    <w:rsid w:val="00FE40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D85C"/>
  <w15:docId w15:val="{17C15B53-C925-470A-8BD6-9C112BD4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50B"/>
  </w:style>
  <w:style w:type="paragraph" w:styleId="Ttulo1">
    <w:name w:val="heading 1"/>
    <w:basedOn w:val="Normal"/>
    <w:next w:val="Normal"/>
    <w:link w:val="Ttulo1Car"/>
    <w:uiPriority w:val="9"/>
    <w:qFormat/>
    <w:rsid w:val="005565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757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574E"/>
  </w:style>
  <w:style w:type="paragraph" w:styleId="Piedepgina">
    <w:name w:val="footer"/>
    <w:basedOn w:val="Normal"/>
    <w:link w:val="PiedepginaCar"/>
    <w:uiPriority w:val="99"/>
    <w:unhideWhenUsed/>
    <w:rsid w:val="006757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7574E"/>
  </w:style>
  <w:style w:type="character" w:customStyle="1" w:styleId="Ttulo1Car">
    <w:name w:val="Título 1 Car"/>
    <w:basedOn w:val="Fuentedeprrafopredeter"/>
    <w:link w:val="Ttulo1"/>
    <w:uiPriority w:val="9"/>
    <w:rsid w:val="005565E5"/>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311B3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LXvYZrPxSJSKnJtufqh/3tPIng==">AMUW2mXl7FTlwLBwXOC2oWb7qOtPj2wZ5yVxduFdpIQUVrQEjopKgs9ejylbAuRf6IqHIBEtOIpjDtVf4J47r3jVEzQgrcnRDzFwazUlWQSCnz3UAiKqSvUrwUfvXybtPAbyO8yh3gJtpPmrYvG9DlkHS6AwczrZmvm/6qmH8094hmE9AwlUNfs=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2940</Words>
  <Characters>16170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CLAUDIA TERESA SUAREZ NIÑO</cp:lastModifiedBy>
  <cp:revision>2</cp:revision>
  <cp:lastPrinted>2025-01-15T18:55:00Z</cp:lastPrinted>
  <dcterms:created xsi:type="dcterms:W3CDTF">2025-04-22T15:57:00Z</dcterms:created>
  <dcterms:modified xsi:type="dcterms:W3CDTF">2025-04-22T15:57:00Z</dcterms:modified>
</cp:coreProperties>
</file>